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附件一</w:t>
      </w:r>
    </w:p>
    <w:p>
      <w:pPr>
        <w:spacing w:before="156" w:beforeLines="50" w:after="156" w:afterLines="5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lang w:val="en-US" w:eastAsia="zh-CN"/>
        </w:rPr>
        <w:t>20</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w:t>
      </w:r>
      <w:r>
        <w:rPr>
          <w:rFonts w:hint="eastAsia" w:ascii="Times New Roman" w:hAnsi="Times New Roman" w:eastAsia="仿宋_GB2312" w:cs="Times New Roman"/>
          <w:spacing w:val="-4"/>
          <w:sz w:val="32"/>
          <w:szCs w:val="32"/>
          <w:lang w:eastAsia="zh-CN"/>
        </w:rPr>
        <w:t>和</w:t>
      </w:r>
      <w:r>
        <w:rPr>
          <w:rFonts w:hint="eastAsia" w:ascii="Times New Roman" w:hAnsi="Times New Roman" w:eastAsia="仿宋_GB2312" w:cs="Times New Roman"/>
          <w:spacing w:val="-4"/>
          <w:sz w:val="32"/>
          <w:szCs w:val="32"/>
        </w:rPr>
        <w:t>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个体工商户</w:t>
      </w:r>
      <w:r>
        <w:rPr>
          <w:rFonts w:hint="eastAsia" w:ascii="Times New Roman" w:hAnsi="Times New Roman" w:eastAsia="仿宋_GB2312" w:cs="Times New Roman"/>
          <w:sz w:val="32"/>
          <w:szCs w:val="32"/>
        </w:rPr>
        <w:t>年报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。通过备案手机号/经营者身份证号登录，请确保备案手机号/经营者身份证号无误</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3"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5、</w:t>
      </w:r>
      <w:r>
        <w:rPr>
          <w:rFonts w:hint="eastAsia" w:ascii="Times New Roman" w:hAnsi="Times New Roman" w:eastAsia="仿宋_GB2312" w:cs="Times New Roman"/>
          <w:b/>
          <w:bCs w:val="0"/>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w:t>
      </w:r>
      <w:r>
        <w:rPr>
          <w:rFonts w:ascii="Times New Roman" w:hAnsi="Times New Roman" w:eastAsia="仿宋_GB2312" w:cs="Times New Roman"/>
          <w:sz w:val="32"/>
          <w:szCs w:val="32"/>
        </w:rPr>
        <w:t>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报关</w:t>
      </w:r>
      <w:r>
        <w:rPr>
          <w:rFonts w:ascii="Times New Roman" w:hAnsi="Times New Roman" w:eastAsia="仿宋_GB2312" w:cs="Times New Roman"/>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eastAsia"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6</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7</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8</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32" w:firstLineChars="200"/>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还需要填报以下</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信息</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项</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p>
    <w:p>
      <w:pPr>
        <w:pStyle w:val="13"/>
        <w:rPr>
          <w:color w:val="0D0D0D" w:themeColor="text1" w:themeTint="F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eastAsia" w:ascii="仿宋_GB2312" w:hAnsi="仿宋_GB2312" w:eastAsia="仿宋_GB2312" w:cs="仿宋_GB2312"/>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Times New Roman" w:hAnsi="Times New Roman" w:eastAsia="仿宋_GB2312" w:cs="Times New Roman"/>
          <w:sz w:val="32"/>
          <w:szCs w:val="32"/>
        </w:rPr>
      </w:pPr>
      <w:bookmarkStart w:id="0" w:name="_GoBack"/>
      <w:bookmarkEnd w:id="0"/>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96F4EFC"/>
    <w:rsid w:val="1DCD19F7"/>
    <w:rsid w:val="1E70574F"/>
    <w:rsid w:val="234B4B78"/>
    <w:rsid w:val="261603E2"/>
    <w:rsid w:val="292C7C55"/>
    <w:rsid w:val="2B6E1E8F"/>
    <w:rsid w:val="3EA937DF"/>
    <w:rsid w:val="41B827F4"/>
    <w:rsid w:val="4DE81EE1"/>
    <w:rsid w:val="59AE2032"/>
    <w:rsid w:val="61F6204C"/>
    <w:rsid w:val="6C7B2402"/>
    <w:rsid w:val="7A1125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8671C-CA52-4EF4-B98A-383E006A9284}">
  <ds:schemaRefs/>
</ds:datastoreItem>
</file>

<file path=docProps/app.xml><?xml version="1.0" encoding="utf-8"?>
<Properties xmlns="http://schemas.openxmlformats.org/officeDocument/2006/extended-properties" xmlns:vt="http://schemas.openxmlformats.org/officeDocument/2006/docPropsVTypes">
  <Template>Normal</Template>
  <Pages>13</Pages>
  <Words>906</Words>
  <Characters>5170</Characters>
  <Lines>43</Lines>
  <Paragraphs>12</Paragraphs>
  <TotalTime>30</TotalTime>
  <ScaleCrop>false</ScaleCrop>
  <LinksUpToDate>false</LinksUpToDate>
  <CharactersWithSpaces>6064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2018-05-02T08:14:00Z</dcterms:created>
  <dc:creator>admin</dc:creator>
  <cp:lastModifiedBy>慧 儿</cp:lastModifiedBy>
  <cp:lastPrinted>2018-12-26T07:42:00Z</cp:lastPrinted>
  <dcterms:modified xsi:type="dcterms:W3CDTF">2021-01-06T06:26:47Z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