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/>
          <w:bCs w:val="0"/>
          <w:sz w:val="52"/>
          <w:szCs w:val="52"/>
        </w:rPr>
      </w:pPr>
      <w:r>
        <w:rPr>
          <w:rFonts w:hint="eastAsia" w:ascii="黑体" w:hAnsi="黑体" w:eastAsia="黑体" w:cs="黑体"/>
          <w:b/>
          <w:bCs w:val="0"/>
          <w:sz w:val="52"/>
          <w:szCs w:val="52"/>
        </w:rPr>
        <w:t>岳阳市市场监督管理局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 w:val="0"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b/>
          <w:bCs w:val="0"/>
          <w:color w:val="000000"/>
          <w:sz w:val="52"/>
          <w:szCs w:val="52"/>
        </w:rPr>
        <w:t>行政处罚决定书</w:t>
      </w:r>
    </w:p>
    <w:p>
      <w:pPr>
        <w:widowControl/>
        <w:snapToGrid w:val="0"/>
        <w:spacing w:line="560" w:lineRule="exact"/>
        <w:ind w:right="55"/>
        <w:jc w:val="center"/>
        <w:rPr>
          <w:rFonts w:ascii="Times New Roman" w:hAnsi="Times New Roman" w:eastAsia="仿宋_GB2312" w:cs="Mongolian Baiti"/>
          <w:color w:val="000000"/>
          <w:sz w:val="32"/>
          <w:szCs w:val="32"/>
        </w:rPr>
      </w:pP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  <w:lang w:val="en-US" w:eastAsia="zh-CN"/>
        </w:rPr>
        <w:t>岳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</w:rPr>
        <w:t>市监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案处字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  <w:u w:val="none"/>
        </w:rPr>
        <w:t>〔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2019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  <w:u w:val="none"/>
        </w:rPr>
        <w:t>〕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E-2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</w:rPr>
        <w:t>号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-38100</wp:posOffset>
                </wp:positionH>
                <wp:positionV relativeFrom="paragraph">
                  <wp:posOffset>20802600</wp:posOffset>
                </wp:positionV>
                <wp:extent cx="5761990" cy="0"/>
                <wp:effectExtent l="0" t="9525" r="10160" b="95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pt;margin-top:1638pt;height:0pt;width:453.7pt;z-index:251658240;mso-width-relative:page;mso-height-relative:page;" filled="f" stroked="t" coordsize="21600,21600" o:allowoverlap="f" o:gfxdata="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4Ky1v9YAAAAMAQAA&#10;DwAAAAAAAAABACAAAAAiAAAAZHJzL2Rvd25yZXYueG1sUEsBAhQAFAAAAAgAh07iQKc+F77iAQAA&#10;nwMAAA4AAAAAAAAAAQAgAAAAJQ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ind w:left="140" w:hanging="140"/>
        <w:rPr>
          <w:rFonts w:hint="eastAsia" w:ascii="Times New Roman" w:hAnsi="Times New Roman" w:eastAsia="仿宋_GB2312" w:cs="Mongolian Baiti"/>
          <w:bCs/>
          <w:kern w:val="1"/>
          <w:sz w:val="32"/>
          <w:szCs w:val="32"/>
        </w:rPr>
      </w:pP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Cs/>
          <w:kern w:val="1"/>
          <w:sz w:val="32"/>
          <w:szCs w:val="32"/>
        </w:rPr>
        <w:t>当事人：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岳阳市二人民医院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sz w:val="32"/>
          <w:szCs w:val="32"/>
        </w:rPr>
      </w:pPr>
      <w:r>
        <w:rPr>
          <w:rFonts w:hint="eastAsia" w:ascii="Times New Roman" w:hAnsi="Times New Roman" w:eastAsia="仿宋_GB2312" w:cs="微软雅黑"/>
          <w:bCs/>
          <w:kern w:val="1"/>
          <w:sz w:val="32"/>
          <w:szCs w:val="32"/>
        </w:rPr>
        <w:t>主体资格证照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名称：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lang w:val="en-US" w:eastAsia="zh-CN"/>
        </w:rPr>
        <w:t>中华人民共和国事业单位法人证书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 xml:space="preserve">               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 xml:space="preserve">统一社会信用代码：12430600446158304A                            </w:t>
      </w:r>
    </w:p>
    <w:p>
      <w:pPr>
        <w:spacing w:line="520" w:lineRule="exact"/>
        <w:rPr>
          <w:rFonts w:ascii="Times New Roman" w:hAnsi="Times New Roman" w:eastAsia="仿宋_GB2312" w:cs="Mongolian Baiti"/>
          <w:kern w:val="1"/>
          <w:sz w:val="32"/>
          <w:szCs w:val="32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 xml:space="preserve">住所：岳阳市岳阳楼区巴陵东路                                       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</w:t>
      </w:r>
    </w:p>
    <w:p>
      <w:pPr>
        <w:spacing w:line="520" w:lineRule="exact"/>
        <w:rPr>
          <w:rFonts w:ascii="Times New Roman" w:hAnsi="Times New Roman" w:eastAsia="仿宋_GB2312" w:cs="Mongolian Baiti"/>
          <w:kern w:val="1"/>
          <w:sz w:val="32"/>
          <w:szCs w:val="32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 xml:space="preserve">法定代表人：余飞跃    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身份证（其他有效证件）号码：43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lang w:val="en-US" w:eastAsia="zh-CN"/>
        </w:rPr>
        <w:t>***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 xml:space="preserve">     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sz w:val="32"/>
          <w:szCs w:val="32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联系电话：189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lang w:val="en-US" w:eastAsia="zh-CN"/>
        </w:rPr>
        <w:t>***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 xml:space="preserve">    其他联系方式：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lang w:val="en-US" w:eastAsia="zh-CN"/>
        </w:rPr>
        <w:t>0730-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87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lang w:val="en-US" w:eastAsia="zh-CN"/>
        </w:rPr>
        <w:t>***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 xml:space="preserve">                </w:t>
      </w:r>
    </w:p>
    <w:p>
      <w:pPr>
        <w:widowControl/>
        <w:spacing w:line="520" w:lineRule="exact"/>
        <w:rPr>
          <w:rFonts w:ascii="仿宋_GB2312" w:hAnsi="方正仿宋_GBK" w:eastAsia="仿宋_GB2312"/>
          <w:b/>
          <w:color w:val="231F20"/>
          <w:spacing w:val="-49"/>
        </w:rPr>
      </w:pP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联系地址：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岳阳市岳阳楼区巴陵东路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                                            </w:t>
      </w:r>
    </w:p>
    <w:p>
      <w:pPr>
        <w:widowControl/>
        <w:spacing w:line="580" w:lineRule="exact"/>
        <w:ind w:firstLine="645"/>
        <w:jc w:val="left"/>
        <w:rPr>
          <w:rFonts w:ascii="Times New Roman" w:eastAsia="仿宋_GB2312" w:cs="仿宋_GB2312"/>
          <w:color w:val="000000"/>
        </w:rPr>
      </w:pPr>
      <w:r>
        <w:rPr>
          <w:rFonts w:hint="eastAsia" w:ascii="仿宋_GB2312" w:hAnsi="方正仿宋_GBK" w:eastAsia="仿宋_GB2312"/>
          <w:bCs/>
          <w:color w:val="231F20"/>
          <w:sz w:val="32"/>
          <w:szCs w:val="32"/>
        </w:rPr>
        <w:t>根据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岳阳市发改委2019年6月10日移交我局的岳阳市二人民医院价格违法案件线索，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经局领导批准，我局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当事人立案调查，承办人为甘艳辉、易大为。</w:t>
      </w:r>
      <w:r>
        <w:rPr>
          <w:rFonts w:hint="eastAsia" w:ascii="Times New Roman" w:eastAsia="仿宋_GB2312" w:cs="仿宋_GB2312"/>
          <w:color w:val="000000"/>
        </w:rPr>
        <w:t xml:space="preserve"> </w:t>
      </w:r>
    </w:p>
    <w:p>
      <w:pPr>
        <w:widowControl/>
        <w:spacing w:line="580" w:lineRule="exact"/>
        <w:ind w:firstLine="476" w:firstLineChars="14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明，当事人</w:t>
      </w:r>
      <w:r>
        <w:rPr>
          <w:rFonts w:hint="eastAsia" w:ascii="仿宋" w:hAnsi="仿宋" w:eastAsia="仿宋"/>
          <w:sz w:val="32"/>
          <w:szCs w:val="32"/>
        </w:rPr>
        <w:t>存在以下违法</w:t>
      </w:r>
      <w:r>
        <w:rPr>
          <w:rFonts w:ascii="仿宋" w:hAnsi="仿宋" w:eastAsia="仿宋"/>
          <w:sz w:val="32"/>
          <w:szCs w:val="32"/>
        </w:rPr>
        <w:t>事实：</w:t>
      </w:r>
    </w:p>
    <w:p>
      <w:pPr>
        <w:widowControl/>
        <w:spacing w:line="580" w:lineRule="exact"/>
        <w:ind w:firstLine="476" w:firstLineChars="149"/>
        <w:rPr>
          <w:rFonts w:ascii="仿宋_GB2312" w:hAnsi="宋体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（一）超过政府指导价浮动幅度收取数字化摄影（DR）胶片费</w:t>
      </w:r>
    </w:p>
    <w:p>
      <w:pPr>
        <w:widowControl/>
        <w:spacing w:line="580" w:lineRule="exact"/>
        <w:ind w:firstLine="796" w:firstLineChars="24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2018年1月1日至2018年6月30日期间，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当事人</w:t>
      </w:r>
      <w:r>
        <w:rPr>
          <w:rFonts w:hint="eastAsia" w:ascii="仿宋_GB2312" w:hAnsi="宋体" w:eastAsia="仿宋_GB2312"/>
          <w:sz w:val="32"/>
          <w:szCs w:val="32"/>
        </w:rPr>
        <w:t>违反岳发改价调[2017]479号文件关于“《医疗价格》中凡是价格项目“除外内容”和“说明”中未明确规定可另计费用的医用耗材，一律不得在项目价格之外另行收费；明确规定可另行收费的，可按下列差价率加收费用：实际进价1000元（含）以下的加收5%;1001-3000元（含）的加收3%；3001元以上的最多加收100元。”的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按每张32元的标准向病人收取14*17吋激光胶片费，销售数量共计24351张，应收标准为每张19.4元（含5%加价率），多收金额306822.6元。</w:t>
      </w:r>
    </w:p>
    <w:p>
      <w:pPr>
        <w:widowControl/>
        <w:spacing w:line="580" w:lineRule="exact"/>
        <w:ind w:firstLine="476" w:firstLineChars="149"/>
        <w:rPr>
          <w:rFonts w:ascii="仿宋_GB2312" w:hAnsi="宋体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（二）超过政府指导价浮动幅度收取甲状腺功能化学发光法检验费</w:t>
      </w:r>
    </w:p>
    <w:p>
      <w:pPr>
        <w:widowControl/>
        <w:spacing w:line="580" w:lineRule="exact"/>
        <w:ind w:firstLine="796" w:firstLineChars="24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2018年1月1日至2018年6月30日期间，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当事人</w:t>
      </w:r>
      <w:r>
        <w:rPr>
          <w:rFonts w:hint="eastAsia" w:ascii="仿宋_GB2312" w:hAnsi="宋体" w:eastAsia="仿宋_GB2312"/>
          <w:kern w:val="0"/>
          <w:sz w:val="32"/>
          <w:szCs w:val="32"/>
        </w:rPr>
        <w:t>违反湘价服[2007]14号文件关于“凡已设定常规检验项目套餐的，医疗机构不得再以检验的方法、试剂和仪器不同加收费用，凡减少检验项目套餐内涵服务项目的必须相对应地降低其收费标准”的规定，将已列入套餐的甲状腺功能化学发光法检查中的内涵项目按60元/项的标准收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检验</w:t>
      </w:r>
      <w:r>
        <w:rPr>
          <w:rFonts w:hint="eastAsia" w:ascii="仿宋_GB2312" w:hAnsi="宋体" w:eastAsia="仿宋_GB2312"/>
          <w:kern w:val="0"/>
          <w:sz w:val="32"/>
          <w:szCs w:val="32"/>
        </w:rPr>
        <w:t>费，套餐内五项检验项目数量分别为2301项，应收标准为52元/项，</w:t>
      </w:r>
      <w:r>
        <w:rPr>
          <w:rFonts w:hint="eastAsia" w:ascii="仿宋_GB2312" w:eastAsia="仿宋_GB2312"/>
          <w:sz w:val="32"/>
          <w:szCs w:val="32"/>
        </w:rPr>
        <w:t>多收金额92040元。</w:t>
      </w:r>
    </w:p>
    <w:p>
      <w:pPr>
        <w:pStyle w:val="2"/>
        <w:tabs>
          <w:tab w:val="left" w:pos="8890"/>
        </w:tabs>
        <w:spacing w:line="520" w:lineRule="exact"/>
        <w:ind w:firstLine="627" w:firstLineChars="196"/>
        <w:rPr>
          <w:rFonts w:ascii="Times New Roman" w:eastAsia="仿宋_GB2312" w:cs="仿宋_GB2312"/>
          <w:color w:val="000000"/>
        </w:rPr>
      </w:pPr>
      <w:r>
        <w:rPr>
          <w:rFonts w:hint="eastAsia" w:ascii="Times New Roman" w:eastAsia="仿宋_GB2312" w:cs="仿宋_GB2312"/>
          <w:color w:val="000000"/>
        </w:rPr>
        <w:t xml:space="preserve"> </w:t>
      </w:r>
      <w:bookmarkStart w:id="0" w:name="_GoBack"/>
      <w:bookmarkEnd w:id="0"/>
      <w:r>
        <w:rPr>
          <w:rFonts w:hint="eastAsia" w:ascii="Times New Roman" w:eastAsia="仿宋_GB2312" w:cs="仿宋_GB2312"/>
          <w:color w:val="000000"/>
        </w:rPr>
        <w:t xml:space="preserve">以上两项多收价款共计：398862.6元。                                                 </w:t>
      </w:r>
    </w:p>
    <w:p>
      <w:pPr>
        <w:spacing w:line="520" w:lineRule="exact"/>
        <w:ind w:firstLine="320" w:firstLineChars="100"/>
        <w:rPr>
          <w:rFonts w:ascii="Times New Roman" w:eastAsia="仿宋_GB2312" w:cs="Mongolian Baiti"/>
          <w:kern w:val="1"/>
          <w:sz w:val="32"/>
          <w:szCs w:val="32"/>
        </w:rPr>
      </w:pPr>
      <w:r>
        <w:rPr>
          <w:rFonts w:ascii="Times New Roman" w:eastAsia="仿宋_GB2312" w:cs="Mongolian Baiti"/>
          <w:kern w:val="1"/>
          <w:sz w:val="32"/>
          <w:szCs w:val="32"/>
        </w:rPr>
        <w:t>上述事实，主要有以下证据证明：</w:t>
      </w:r>
    </w:p>
    <w:p>
      <w:pPr>
        <w:spacing w:line="520" w:lineRule="exact"/>
        <w:ind w:firstLine="300" w:firstLineChars="1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1、市二人民医院组织机构代码证，证明当事人主体资格；</w:t>
      </w:r>
    </w:p>
    <w:p>
      <w:pPr>
        <w:spacing w:line="520" w:lineRule="exact"/>
        <w:ind w:firstLine="300" w:firstLineChars="100"/>
        <w:rPr>
          <w:rFonts w:hint="default" w:ascii="仿宋" w:hAnsi="仿宋" w:eastAsia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0"/>
          <w:szCs w:val="30"/>
        </w:rPr>
        <w:t>湘价服[2007]14号文件</w:t>
      </w:r>
      <w:r>
        <w:rPr>
          <w:rFonts w:hint="eastAsia" w:ascii="仿宋_GB2312" w:hAnsi="宋体" w:eastAsia="仿宋_GB2312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/>
          <w:kern w:val="0"/>
          <w:sz w:val="30"/>
          <w:szCs w:val="30"/>
          <w:lang w:val="en-US" w:eastAsia="zh-CN"/>
        </w:rPr>
        <w:t>证明当事人违反文件规定多收费；</w:t>
      </w:r>
    </w:p>
    <w:p>
      <w:pPr>
        <w:spacing w:line="52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/>
          <w:sz w:val="30"/>
          <w:szCs w:val="30"/>
        </w:rPr>
        <w:t>调查询问笔录和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检查登记表、收费明细表，</w:t>
      </w:r>
      <w:r>
        <w:rPr>
          <w:rFonts w:ascii="仿宋" w:hAnsi="仿宋" w:eastAsia="仿宋"/>
          <w:sz w:val="30"/>
          <w:szCs w:val="30"/>
        </w:rPr>
        <w:t>证明</w:t>
      </w:r>
      <w:r>
        <w:rPr>
          <w:rFonts w:hint="eastAsia" w:ascii="仿宋" w:hAnsi="仿宋" w:eastAsia="仿宋"/>
          <w:sz w:val="30"/>
          <w:szCs w:val="30"/>
        </w:rPr>
        <w:t>当事人违规收费的具体项目和标准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ascii="仿宋" w:hAnsi="仿宋" w:eastAsia="仿宋"/>
          <w:sz w:val="30"/>
          <w:szCs w:val="30"/>
        </w:rPr>
        <w:t xml:space="preserve">                                    </w:t>
      </w:r>
    </w:p>
    <w:p>
      <w:pPr>
        <w:spacing w:line="520" w:lineRule="exact"/>
        <w:ind w:firstLine="300" w:firstLineChars="1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4、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医院信息中心提供的电子版数据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和</w:t>
      </w:r>
      <w:r>
        <w:rPr>
          <w:rFonts w:hint="eastAsia" w:ascii="仿宋" w:hAnsi="仿宋" w:eastAsia="仿宋"/>
          <w:sz w:val="30"/>
          <w:szCs w:val="30"/>
        </w:rPr>
        <w:t>门诊、住院病人结算清单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ascii="仿宋" w:hAnsi="仿宋" w:eastAsia="仿宋"/>
          <w:sz w:val="30"/>
          <w:szCs w:val="30"/>
        </w:rPr>
        <w:t xml:space="preserve"> 证明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当事人</w:t>
      </w:r>
      <w:r>
        <w:rPr>
          <w:rFonts w:hint="eastAsia" w:ascii="仿宋" w:hAnsi="仿宋" w:eastAsia="仿宋"/>
          <w:sz w:val="30"/>
          <w:szCs w:val="30"/>
        </w:rPr>
        <w:t>违规收费的具体数量和金额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>
      <w:pPr>
        <w:spacing w:line="520" w:lineRule="exact"/>
        <w:ind w:firstLine="30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5、市二医院无法清退的书面报告，证明多收价款的违法所得金额。</w:t>
      </w:r>
      <w:r>
        <w:rPr>
          <w:rFonts w:ascii="仿宋" w:hAnsi="仿宋" w:eastAsia="仿宋"/>
          <w:sz w:val="30"/>
          <w:szCs w:val="30"/>
        </w:rPr>
        <w:t xml:space="preserve">           </w:t>
      </w:r>
    </w:p>
    <w:p>
      <w:pPr>
        <w:pStyle w:val="2"/>
        <w:tabs>
          <w:tab w:val="left" w:pos="9060"/>
        </w:tabs>
        <w:spacing w:line="520" w:lineRule="exact"/>
        <w:ind w:firstLine="640" w:firstLineChars="200"/>
        <w:jc w:val="both"/>
        <w:rPr>
          <w:rFonts w:hint="eastAsia" w:ascii="仿宋_GB2312" w:hAnsi="方正仿宋_GBK" w:eastAsia="仿宋_GB2312"/>
          <w:bCs/>
          <w:color w:val="231F20"/>
        </w:rPr>
      </w:pPr>
      <w:r>
        <w:rPr>
          <w:rFonts w:hint="eastAsia" w:ascii="仿宋_GB2312" w:hAnsi="方正仿宋_GBK" w:eastAsia="仿宋_GB2312"/>
          <w:bCs/>
          <w:color w:val="231F20"/>
        </w:rPr>
        <w:t>我局于2019年7月3日向</w:t>
      </w:r>
      <w:r>
        <w:rPr>
          <w:rFonts w:hint="eastAsia" w:ascii="仿宋_GB2312" w:hAnsi="方正仿宋_GBK" w:eastAsia="仿宋_GB2312"/>
          <w:bCs/>
          <w:color w:val="231F20"/>
          <w:lang w:val="en-US" w:eastAsia="zh-CN"/>
        </w:rPr>
        <w:t>当事人</w:t>
      </w:r>
      <w:r>
        <w:rPr>
          <w:rFonts w:hint="eastAsia" w:ascii="仿宋_GB2312" w:hAnsi="方正仿宋_GBK" w:eastAsia="仿宋_GB2312"/>
          <w:bCs/>
          <w:color w:val="231F20"/>
        </w:rPr>
        <w:t>下达了《行政处罚听证告知书》，</w:t>
      </w:r>
      <w:r>
        <w:rPr>
          <w:rFonts w:hint="eastAsia" w:ascii="仿宋_GB2312" w:hAnsi="方正仿宋_GBK" w:eastAsia="仿宋_GB2312"/>
          <w:bCs/>
          <w:color w:val="231F20"/>
          <w:lang w:val="en-US" w:eastAsia="zh-CN"/>
        </w:rPr>
        <w:t>当事人</w:t>
      </w:r>
      <w:r>
        <w:rPr>
          <w:rFonts w:hint="eastAsia" w:ascii="仿宋_GB2312" w:hAnsi="方正仿宋_GBK" w:eastAsia="仿宋_GB2312"/>
          <w:bCs/>
          <w:color w:val="231F20"/>
        </w:rPr>
        <w:t>在规定期限内未行使陈述、申辩权，也未要求举行听证，我局视</w:t>
      </w:r>
      <w:r>
        <w:rPr>
          <w:rFonts w:hint="eastAsia" w:ascii="仿宋_GB2312" w:hAnsi="方正仿宋_GBK" w:eastAsia="仿宋_GB2312"/>
          <w:bCs/>
          <w:color w:val="231F20"/>
          <w:lang w:val="en-US" w:eastAsia="zh-CN"/>
        </w:rPr>
        <w:t>当事人</w:t>
      </w:r>
      <w:r>
        <w:rPr>
          <w:rFonts w:hint="eastAsia" w:ascii="仿宋_GB2312" w:hAnsi="方正仿宋_GBK" w:eastAsia="仿宋_GB2312"/>
          <w:bCs/>
          <w:color w:val="231F20"/>
        </w:rPr>
        <w:t>放弃此权利；2019年7月8日，我局向</w:t>
      </w:r>
      <w:r>
        <w:rPr>
          <w:rFonts w:hint="eastAsia" w:ascii="仿宋_GB2312" w:hAnsi="方正仿宋_GBK" w:eastAsia="仿宋_GB2312"/>
          <w:bCs/>
          <w:color w:val="231F20"/>
          <w:lang w:val="en-US" w:eastAsia="zh-CN"/>
        </w:rPr>
        <w:t>当事人</w:t>
      </w:r>
      <w:r>
        <w:rPr>
          <w:rFonts w:hint="eastAsia" w:ascii="仿宋_GB2312" w:hAnsi="方正仿宋_GBK" w:eastAsia="仿宋_GB2312"/>
          <w:bCs/>
          <w:color w:val="231F20"/>
        </w:rPr>
        <w:t>下达了《责令退款通知书》，</w:t>
      </w:r>
      <w:r>
        <w:rPr>
          <w:rFonts w:hint="eastAsia" w:ascii="仿宋_GB2312" w:hAnsi="方正仿宋_GBK" w:eastAsia="仿宋_GB2312"/>
          <w:bCs/>
          <w:color w:val="231F20"/>
          <w:lang w:val="en-US" w:eastAsia="zh-CN"/>
        </w:rPr>
        <w:t>当事人</w:t>
      </w:r>
      <w:r>
        <w:rPr>
          <w:rFonts w:hint="eastAsia" w:ascii="仿宋_GB2312" w:hAnsi="方正仿宋_GBK" w:eastAsia="仿宋_GB2312"/>
          <w:bCs/>
          <w:color w:val="231F20"/>
        </w:rPr>
        <w:t>在规定时间</w:t>
      </w:r>
      <w:r>
        <w:rPr>
          <w:rFonts w:hint="eastAsia" w:ascii="仿宋_GB2312" w:hAnsi="方正仿宋_GBK" w:eastAsia="仿宋_GB2312"/>
          <w:bCs/>
          <w:color w:val="231F20"/>
          <w:lang w:val="en-US" w:eastAsia="zh-CN"/>
        </w:rPr>
        <w:t>和公告时间</w:t>
      </w:r>
      <w:r>
        <w:rPr>
          <w:rFonts w:hint="eastAsia" w:ascii="仿宋_GB2312" w:hAnsi="方正仿宋_GBK" w:eastAsia="仿宋_GB2312"/>
          <w:bCs/>
          <w:color w:val="231F20"/>
        </w:rPr>
        <w:t>内没有退还多收价款，我局依法认定</w:t>
      </w:r>
      <w:r>
        <w:rPr>
          <w:rFonts w:hint="eastAsia" w:ascii="仿宋_GB2312" w:hAnsi="方正仿宋_GBK" w:eastAsia="仿宋_GB2312"/>
          <w:bCs/>
          <w:color w:val="231F20"/>
          <w:lang w:val="en-US" w:eastAsia="zh-CN"/>
        </w:rPr>
        <w:t>当事人</w:t>
      </w:r>
      <w:r>
        <w:rPr>
          <w:rFonts w:hint="eastAsia" w:ascii="仿宋_GB2312" w:hAnsi="方正仿宋_GBK" w:eastAsia="仿宋_GB2312"/>
          <w:bCs/>
          <w:color w:val="231F20"/>
        </w:rPr>
        <w:t>没有退还的多收价款398862.6元为违法所得。</w:t>
      </w:r>
    </w:p>
    <w:p>
      <w:pPr>
        <w:pStyle w:val="2"/>
        <w:tabs>
          <w:tab w:val="left" w:pos="9060"/>
        </w:tabs>
        <w:spacing w:line="52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方正仿宋_GBK" w:eastAsia="仿宋_GB2312"/>
          <w:bCs/>
          <w:color w:val="231F20"/>
          <w:sz w:val="32"/>
          <w:szCs w:val="32"/>
          <w:lang w:val="en-US" w:eastAsia="zh-CN"/>
        </w:rPr>
        <w:t>当事人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上述行为违反了《中华人民共和国价格法》第十二条“经营者进行价格活动，应当遵守法律、法规，执行依法制定的政府指导价、政府定价和法定的价格干预措施、紧急措施”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《价格违法行为行政处罚规定》第九条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宋体"/>
          <w:kern w:val="0"/>
          <w:sz w:val="30"/>
          <w:szCs w:val="30"/>
          <w:lang w:val="en-US" w:eastAsia="zh-CN"/>
        </w:rPr>
        <w:t>经营者不执行政府指导价、政府定价，有下列行为之一的，责令改正，没收违法所得</w:t>
      </w:r>
      <w:r>
        <w:rPr>
          <w:rFonts w:hint="default" w:ascii="Arial" w:hAnsi="Arial" w:eastAsia="仿宋_GB2312" w:cs="Arial"/>
          <w:kern w:val="0"/>
          <w:sz w:val="30"/>
          <w:szCs w:val="30"/>
          <w:lang w:val="en-US" w:eastAsia="zh-CN"/>
        </w:rPr>
        <w:t>……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第（一）项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的规定，属于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超出政府指导价浮动幅度制定价格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价格违法行为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。考虑到</w:t>
      </w:r>
      <w:r>
        <w:rPr>
          <w:rFonts w:hint="eastAsia" w:ascii="仿宋_GB2312" w:hAnsi="方正仿宋_GBK" w:eastAsia="仿宋_GB2312"/>
          <w:bCs/>
          <w:color w:val="231F20"/>
          <w:sz w:val="32"/>
          <w:szCs w:val="32"/>
          <w:lang w:val="en-US" w:eastAsia="zh-CN"/>
        </w:rPr>
        <w:t>当事人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能积极配合检查并及时改正违法行为，主动消除危害后果，符合国家发展改革委《规范价格行政处罚权的若干规定》第六条第二款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主动消除或者减轻价格违法行为危害后果的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”。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依法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减轻处罚的情形，依据《规范价格行政处罚权的若干规定》第十一条“法律、法规和规章应当处或并处罚款的，对于减轻处罚情形，有违法所得的，应当没收违法所得，可以不再并处罚款”的规定，免予罚款。</w:t>
      </w:r>
    </w:p>
    <w:p>
      <w:pPr>
        <w:widowControl/>
        <w:numPr>
          <w:ilvl w:val="0"/>
          <w:numId w:val="0"/>
        </w:numPr>
        <w:spacing w:line="58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依据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《中华人民共和国价格法》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第三十九条</w:t>
      </w:r>
      <w:r>
        <w:rPr>
          <w:rFonts w:hint="eastAsia" w:ascii="仿宋_GB2312" w:hAnsi="仿宋_GB2312" w:eastAsia="仿宋_GB2312" w:cs="宋体"/>
          <w:kern w:val="0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宋体"/>
          <w:kern w:val="0"/>
          <w:sz w:val="30"/>
          <w:szCs w:val="30"/>
          <w:lang w:val="en-US" w:eastAsia="zh-CN"/>
        </w:rPr>
        <w:t>经营者不执行政府指导价、政府定价以及法定的价格干预措施、紧急措施的，责令改正，没收违法所得</w:t>
      </w:r>
      <w:r>
        <w:rPr>
          <w:rFonts w:hint="default" w:ascii="Arial" w:hAnsi="Arial" w:eastAsia="仿宋_GB2312" w:cs="Arial"/>
          <w:kern w:val="0"/>
          <w:sz w:val="30"/>
          <w:szCs w:val="30"/>
          <w:lang w:val="en-US" w:eastAsia="zh-CN"/>
        </w:rPr>
        <w:t>……</w:t>
      </w:r>
      <w:r>
        <w:rPr>
          <w:rFonts w:hint="eastAsia" w:ascii="仿宋_GB2312" w:hAnsi="仿宋_GB2312" w:eastAsia="仿宋_GB2312" w:cs="宋体"/>
          <w:kern w:val="0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宋体"/>
          <w:kern w:val="0"/>
          <w:sz w:val="30"/>
          <w:szCs w:val="30"/>
          <w:lang w:val="en-US" w:eastAsia="zh-CN"/>
        </w:rPr>
        <w:t>和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《价格违法行为行政处罚规定》第九条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宋体"/>
          <w:kern w:val="0"/>
          <w:sz w:val="30"/>
          <w:szCs w:val="30"/>
          <w:lang w:val="en-US" w:eastAsia="zh-CN"/>
        </w:rPr>
        <w:t>经营者不执行政府指导价、政府定价，有下列行为之一的，责令改正，没收违法所得</w:t>
      </w:r>
      <w:r>
        <w:rPr>
          <w:rFonts w:hint="default" w:ascii="Arial" w:hAnsi="Arial" w:eastAsia="仿宋_GB2312" w:cs="Arial"/>
          <w:kern w:val="0"/>
          <w:sz w:val="30"/>
          <w:szCs w:val="30"/>
          <w:lang w:val="en-US" w:eastAsia="zh-CN"/>
        </w:rPr>
        <w:t>……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第（一）项“超出政府指导价浮动幅度制定价格的”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的规定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经我局决定对当事人作如下处罚:</w:t>
      </w:r>
    </w:p>
    <w:p>
      <w:pPr>
        <w:widowControl/>
        <w:numPr>
          <w:ilvl w:val="0"/>
          <w:numId w:val="0"/>
        </w:numPr>
        <w:spacing w:line="580" w:lineRule="exact"/>
        <w:ind w:firstLine="600" w:firstLineChars="200"/>
        <w:rPr>
          <w:rFonts w:hint="eastAsia" w:ascii="仿宋_GB2312" w:hAnsi="仿宋_GB2312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1、</w:t>
      </w:r>
      <w:r>
        <w:rPr>
          <w:rFonts w:hint="eastAsia" w:ascii="仿宋_GB2312" w:hAnsi="仿宋_GB2312" w:eastAsia="仿宋_GB2312" w:cs="宋体"/>
          <w:kern w:val="0"/>
          <w:sz w:val="30"/>
          <w:szCs w:val="30"/>
        </w:rPr>
        <w:t>责令当事人立即改正其违法行为</w:t>
      </w:r>
      <w:r>
        <w:rPr>
          <w:rFonts w:hint="eastAsia" w:ascii="仿宋_GB2312" w:hAnsi="仿宋_GB2312" w:eastAsia="仿宋_GB2312" w:cs="宋体"/>
          <w:kern w:val="0"/>
          <w:sz w:val="30"/>
          <w:szCs w:val="30"/>
          <w:lang w:eastAsia="zh-CN"/>
        </w:rPr>
        <w:t>；</w:t>
      </w:r>
    </w:p>
    <w:p>
      <w:pPr>
        <w:widowControl/>
        <w:numPr>
          <w:ilvl w:val="0"/>
          <w:numId w:val="0"/>
        </w:numPr>
        <w:spacing w:line="580" w:lineRule="exact"/>
        <w:ind w:firstLine="600" w:firstLineChars="200"/>
        <w:rPr>
          <w:rFonts w:hint="default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kern w:val="0"/>
          <w:sz w:val="30"/>
          <w:szCs w:val="30"/>
          <w:lang w:val="en-US" w:eastAsia="zh-CN"/>
        </w:rPr>
        <w:t>2、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没收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违法所得</w:t>
      </w:r>
      <w:r>
        <w:rPr>
          <w:rFonts w:hint="eastAsia" w:ascii="仿宋_GB2312" w:hAnsi="方正仿宋_GBK" w:eastAsia="仿宋_GB2312"/>
          <w:bCs/>
          <w:color w:val="231F20"/>
          <w:sz w:val="32"/>
          <w:szCs w:val="32"/>
        </w:rPr>
        <w:t>398862.6元</w:t>
      </w:r>
      <w:r>
        <w:rPr>
          <w:rFonts w:hint="eastAsia" w:ascii="仿宋_GB2312" w:hAnsi="方正仿宋_GBK" w:eastAsia="仿宋_GB2312"/>
          <w:bCs/>
          <w:color w:val="231F20"/>
          <w:sz w:val="32"/>
          <w:szCs w:val="32"/>
          <w:lang w:eastAsia="zh-CN"/>
        </w:rPr>
        <w:t>，</w:t>
      </w:r>
      <w:r>
        <w:rPr>
          <w:rFonts w:hint="eastAsia" w:ascii="仿宋_GB2312" w:hAnsi="方正仿宋_GBK" w:eastAsia="仿宋_GB2312"/>
          <w:bCs/>
          <w:color w:val="231F20"/>
          <w:sz w:val="32"/>
          <w:szCs w:val="32"/>
          <w:lang w:val="en-US" w:eastAsia="zh-CN"/>
        </w:rPr>
        <w:t>上缴国库。</w:t>
      </w:r>
    </w:p>
    <w:p>
      <w:pPr>
        <w:pStyle w:val="2"/>
        <w:tabs>
          <w:tab w:val="left" w:pos="9060"/>
        </w:tabs>
        <w:spacing w:line="520" w:lineRule="exact"/>
        <w:ind w:firstLine="627" w:firstLineChars="196"/>
        <w:rPr>
          <w:rFonts w:ascii="Droid Sans Fallback"/>
          <w:sz w:val="23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方正仿宋_GBK" w:eastAsia="仿宋_GB2312"/>
          <w:bCs/>
          <w:color w:val="231F20"/>
          <w:sz w:val="32"/>
          <w:szCs w:val="32"/>
          <w:lang w:val="en-US" w:eastAsia="zh-CN"/>
        </w:rPr>
        <w:t>当事人</w:t>
      </w:r>
      <w:r>
        <w:rPr>
          <w:rFonts w:hint="eastAsia" w:ascii="仿宋_GB2312" w:hAnsi="方正仿宋_GBK" w:eastAsia="仿宋_GB2312"/>
          <w:bCs/>
          <w:color w:val="231F20"/>
        </w:rPr>
        <w:t>在收到本处罚决定书之日起十五日内，将罚没款398862.6元上缴岳阳市非税收入征收管理局，开户行：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建设银行岳阳市东茅岭支行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方正仿宋_GBK" w:eastAsia="仿宋_GB2312"/>
          <w:bCs/>
          <w:color w:val="231F20"/>
        </w:rPr>
        <w:t>账号：</w:t>
      </w:r>
      <w:r>
        <w:rPr>
          <w:rFonts w:hint="eastAsia" w:ascii="仿宋_GB2312" w:hAnsi="仿宋_GB2312" w:eastAsia="仿宋_GB2312" w:cs="仿宋_GB2312"/>
          <w:sz w:val="32"/>
          <w:szCs w:val="32"/>
        </w:rPr>
        <w:t>43001620066052500183</w:t>
      </w:r>
      <w:r>
        <w:rPr>
          <w:rFonts w:hint="eastAsia" w:ascii="仿宋_GB2312" w:hAnsi="方正仿宋_GBK" w:eastAsia="仿宋_GB2312"/>
          <w:bCs/>
          <w:color w:val="231F20"/>
        </w:rPr>
        <w:t>；逾期未缴纳违法所得的，依据《中华人民共和国行政处罚法》第五十一条的规定，本局将每日按罚款数额的百分之三加处罚款，并依法申请人民法院强制执行。</w:t>
      </w:r>
    </w:p>
    <w:p>
      <w:pPr>
        <w:pStyle w:val="2"/>
        <w:tabs>
          <w:tab w:val="left" w:pos="8395"/>
        </w:tabs>
        <w:spacing w:line="520" w:lineRule="exact"/>
        <w:ind w:firstLine="627" w:firstLineChars="196"/>
        <w:jc w:val="both"/>
        <w:rPr>
          <w:rFonts w:ascii="Times New Roman" w:eastAsia="仿宋_GB2312" w:cs="仿宋_GB2312"/>
          <w:color w:val="000000"/>
        </w:rPr>
      </w:pPr>
      <w:r>
        <w:rPr>
          <w:rFonts w:hint="eastAsia" w:ascii="仿宋" w:hAnsi="仿宋" w:eastAsia="仿宋" w:cs="仿宋"/>
          <w:sz w:val="32"/>
          <w:szCs w:val="32"/>
        </w:rPr>
        <w:t>你院如对本处罚决定不服，可以自收到本处罚决定书之日起60日内向湖南省市场监督管理局或者岳阳市人民政府申请行政复议，复议期间不停止本处罚决定的执行。</w:t>
      </w:r>
      <w:r>
        <w:rPr>
          <w:rFonts w:hint="eastAsia" w:ascii="Times New Roman" w:eastAsia="仿宋_GB2312" w:cs="仿宋_GB2312"/>
          <w:color w:val="000000"/>
        </w:rPr>
        <w:t xml:space="preserve">                                  </w:t>
      </w:r>
    </w:p>
    <w:p>
      <w:pPr>
        <w:spacing w:line="560" w:lineRule="exact"/>
        <w:ind w:right="640" w:firstLine="601"/>
        <w:jc w:val="right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right="640" w:firstLine="601"/>
        <w:jc w:val="right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                </w:t>
      </w:r>
    </w:p>
    <w:p>
      <w:pPr>
        <w:spacing w:line="560" w:lineRule="exact"/>
        <w:ind w:right="640" w:firstLine="601"/>
        <w:jc w:val="right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岳阳市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市场监督管理局          </w:t>
      </w:r>
    </w:p>
    <w:p>
      <w:pPr>
        <w:spacing w:line="560" w:lineRule="exact"/>
        <w:ind w:right="960" w:firstLine="600"/>
        <w:jc w:val="right"/>
        <w:rPr>
          <w:rFonts w:ascii="仿宋_GB2312" w:hAnsi="Times New Roman" w:eastAsia="仿宋_GB2312" w:cs="仿宋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 xml:space="preserve">2019年 7 月 30日  </w:t>
      </w:r>
    </w:p>
    <w:p>
      <w:pPr>
        <w:spacing w:line="560" w:lineRule="exact"/>
        <w:ind w:right="1280" w:firstLine="600"/>
        <w:jc w:val="center"/>
        <w:rPr>
          <w:rFonts w:ascii="黑体" w:hAnsi="黑体" w:eastAsia="黑体"/>
          <w:spacing w:val="-16"/>
        </w:rPr>
      </w:pPr>
      <w:r>
        <w:rPr>
          <w:rFonts w:hint="eastAsia" w:ascii="仿宋_GB2312" w:hAnsi="Times New Roman" w:eastAsia="仿宋_GB2312" w:cs="仿宋"/>
          <w:b/>
          <w:bCs/>
          <w:color w:val="000000"/>
          <w:sz w:val="24"/>
        </w:rPr>
        <w:t xml:space="preserve"> （市场监督管理部门将依法向社会公示本行政处罚决定信息）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    </w:t>
      </w:r>
    </w:p>
    <w:p>
      <w:pPr>
        <w:spacing w:line="500" w:lineRule="exact"/>
        <w:rPr>
          <w:rFonts w:ascii="Times New Roman" w:hAnsi="Times New Roman" w:eastAsia="仿宋_GB2312" w:cs="仿宋"/>
          <w:bCs/>
          <w:color w:val="000000"/>
          <w:sz w:val="44"/>
          <w:szCs w:val="44"/>
        </w:rPr>
      </w:pPr>
    </w:p>
    <w:p>
      <w:pPr>
        <w:spacing w:line="500" w:lineRule="exact"/>
        <w:rPr>
          <w:rFonts w:ascii="Times New Roman" w:hAnsi="Times New Roman" w:eastAsia="仿宋_GB2312" w:cs="仿宋"/>
          <w:bCs/>
          <w:color w:val="000000"/>
          <w:sz w:val="44"/>
          <w:szCs w:val="44"/>
        </w:rPr>
      </w:pPr>
    </w:p>
    <w:p>
      <w:pPr>
        <w:spacing w:line="500" w:lineRule="exact"/>
        <w:rPr>
          <w:rFonts w:ascii="Times New Roman" w:hAnsi="Times New Roman" w:eastAsia="仿宋_GB2312" w:cs="仿宋"/>
          <w:bCs/>
          <w:color w:val="000000"/>
          <w:sz w:val="44"/>
          <w:szCs w:val="44"/>
        </w:rPr>
      </w:pPr>
    </w:p>
    <w:p>
      <w:pPr>
        <w:spacing w:line="500" w:lineRule="exact"/>
        <w:rPr>
          <w:rFonts w:ascii="Times New Roman" w:hAnsi="Times New Roman" w:eastAsia="仿宋_GB2312" w:cs="仿宋"/>
          <w:bCs/>
          <w:color w:val="000000"/>
          <w:sz w:val="44"/>
          <w:szCs w:val="44"/>
        </w:rPr>
      </w:pPr>
    </w:p>
    <w:p>
      <w:pPr>
        <w:spacing w:line="500" w:lineRule="exact"/>
        <w:rPr>
          <w:rFonts w:ascii="Times New Roman" w:hAnsi="Times New Roman" w:eastAsia="仿宋_GB2312" w:cs="仿宋"/>
          <w:bCs/>
          <w:color w:val="000000"/>
          <w:sz w:val="44"/>
          <w:szCs w:val="44"/>
        </w:rPr>
      </w:pPr>
    </w:p>
    <w:p>
      <w:pPr>
        <w:spacing w:line="500" w:lineRule="exact"/>
        <w:rPr>
          <w:rFonts w:ascii="Times New Roman" w:hAnsi="Times New Roman" w:eastAsia="仿宋_GB2312" w:cs="仿宋"/>
          <w:bCs/>
          <w:color w:val="000000"/>
          <w:sz w:val="44"/>
          <w:szCs w:val="44"/>
        </w:rPr>
      </w:pPr>
    </w:p>
    <w:p>
      <w:pPr>
        <w:spacing w:line="500" w:lineRule="exact"/>
        <w:rPr>
          <w:rFonts w:ascii="Times New Roman" w:hAnsi="Times New Roman" w:eastAsia="仿宋_GB2312" w:cs="仿宋"/>
          <w:bCs/>
          <w:color w:val="000000"/>
          <w:sz w:val="44"/>
          <w:szCs w:val="44"/>
        </w:rPr>
      </w:pPr>
    </w:p>
    <w:p>
      <w:pPr>
        <w:spacing w:line="500" w:lineRule="exact"/>
        <w:rPr>
          <w:rFonts w:ascii="Times New Roman" w:hAnsi="Times New Roman" w:eastAsia="仿宋_GB2312" w:cs="仿宋"/>
          <w:bCs/>
          <w:color w:val="000000"/>
          <w:sz w:val="44"/>
          <w:szCs w:val="44"/>
        </w:rPr>
      </w:pPr>
    </w:p>
    <w:p>
      <w:pPr>
        <w:spacing w:line="500" w:lineRule="exact"/>
        <w:rPr>
          <w:rFonts w:ascii="Times New Roman" w:hAnsi="Times New Roman" w:eastAsia="仿宋_GB2312" w:cs="仿宋"/>
          <w:bCs/>
          <w:color w:val="000000"/>
          <w:sz w:val="44"/>
          <w:szCs w:val="44"/>
        </w:rPr>
      </w:pPr>
    </w:p>
    <w:p>
      <w:pPr>
        <w:spacing w:line="500" w:lineRule="exact"/>
        <w:rPr>
          <w:rFonts w:ascii="Times New Roman" w:hAnsi="Times New Roman" w:eastAsia="仿宋_GB2312" w:cs="仿宋"/>
          <w:bCs/>
          <w:color w:val="000000"/>
          <w:sz w:val="44"/>
          <w:szCs w:val="44"/>
        </w:rPr>
      </w:pPr>
    </w:p>
    <w:p>
      <w:pPr>
        <w:spacing w:line="500" w:lineRule="exact"/>
        <w:rPr>
          <w:rFonts w:ascii="Times New Roman" w:hAnsi="Times New Roman" w:eastAsia="仿宋_GB2312" w:cs="仿宋"/>
          <w:bCs/>
          <w:color w:val="000000"/>
          <w:sz w:val="44"/>
          <w:szCs w:val="44"/>
        </w:rPr>
      </w:pPr>
    </w:p>
    <w:p>
      <w:pPr>
        <w:spacing w:line="500" w:lineRule="exact"/>
      </w:pP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-2540</wp:posOffset>
                </wp:positionV>
                <wp:extent cx="555053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pt;margin-top:-0.2pt;height:0.05pt;width:437.05pt;z-index:251663360;mso-width-relative:page;mso-height-relative:page;" filled="f" stroked="t" coordsize="21600,21600" o:gfxdata="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d67+l1AAAAAUBAAAPAAAAAAAAAAEAIAAAACIAAABk&#10;cnMvZG93bnJldi54bWxQSwECFAAUAAAACACHTuJAxvPzJNEBAACNAwAADgAAAAAAAAABACAAAAAj&#10;AQAAZHJzL2Uyb0RvYy54bWxQSwUGAAAAAAYABgBZAQAAZ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2336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vv85HXAAAACgEAAA8AAAAAAAAAAQAg&#10;AAAAIgAAAGRycy9kb3ducmV2LnhtbFBLAQIUABQAAAAIAIdO4kChHazy1gEAAIsDAAAOAAAAAAAA&#10;AAEAIAAAACYBAABkcnMvZTJvRG9jLnhtbFBLBQYAAAAABgAGAFkBAABu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  <w:lang w:val="en-US" w:eastAsia="zh-CN"/>
        </w:rPr>
        <w:t>一份留存办案机构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-2540</wp:posOffset>
                </wp:positionV>
                <wp:extent cx="555053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pt;margin-top:-0.2pt;height:0.05pt;width:437.05pt;z-index:251660288;mso-width-relative:page;mso-height-relative:page;" filled="f" stroked="t" coordsize="21600,21600" o:gfxdata="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eu/pdQAAAAFAQAADwAAAAAAAAABACAAAAAiAAAA&#10;ZHJzL2Rvd25yZXYueG1sUEsBAhQAFAAAAAgAh07iQKtb7JfSAQAAjQMAAA4AAAAAAAAAAQAgAAAA&#10;IwEAAGRycy9lMm9Eb2MueG1sUEsFBgAAAAAGAAYAWQEAAGc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vv85HXAAAACgEAAA8AAAAAAAAAAQAg&#10;AAAAIgAAAGRycy9kb3ducmV2LnhtbFBLAQIUABQAAAAIAIdO4kCJAe5t1gEAAIsDAAAOAAAAAAAA&#10;AAEAIAAAACYBAABkcnMvZTJvRG9jLnhtbFBLBQYAAAAABgAGAFkBAABu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roid Sans Fallback">
    <w:altName w:val="MS UI Gothic"/>
    <w:panose1 w:val="00000000000000000000"/>
    <w:charset w:val="80"/>
    <w:family w:val="modern"/>
    <w:pitch w:val="default"/>
    <w:sig w:usb0="00000000" w:usb1="00000000" w:usb2="00000016" w:usb3="00000000" w:csb0="001A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15653"/>
    <w:rsid w:val="00547A74"/>
    <w:rsid w:val="006D0786"/>
    <w:rsid w:val="007C254B"/>
    <w:rsid w:val="00994C61"/>
    <w:rsid w:val="00AF34F4"/>
    <w:rsid w:val="022056FC"/>
    <w:rsid w:val="02E204B6"/>
    <w:rsid w:val="084328F4"/>
    <w:rsid w:val="08515653"/>
    <w:rsid w:val="10B97C42"/>
    <w:rsid w:val="171E1C3F"/>
    <w:rsid w:val="17902A87"/>
    <w:rsid w:val="18FF0385"/>
    <w:rsid w:val="1CD8680D"/>
    <w:rsid w:val="1CE3089E"/>
    <w:rsid w:val="1F571A4A"/>
    <w:rsid w:val="20912281"/>
    <w:rsid w:val="20E52568"/>
    <w:rsid w:val="27075D97"/>
    <w:rsid w:val="2759757D"/>
    <w:rsid w:val="2ACA337D"/>
    <w:rsid w:val="2C527B1C"/>
    <w:rsid w:val="2E065AD9"/>
    <w:rsid w:val="2F313883"/>
    <w:rsid w:val="3650355C"/>
    <w:rsid w:val="39B4334D"/>
    <w:rsid w:val="3A65220A"/>
    <w:rsid w:val="3F510674"/>
    <w:rsid w:val="42607C9C"/>
    <w:rsid w:val="42AD790A"/>
    <w:rsid w:val="446C2C8B"/>
    <w:rsid w:val="465427D2"/>
    <w:rsid w:val="47EA0F6F"/>
    <w:rsid w:val="4FD77A1F"/>
    <w:rsid w:val="50E45204"/>
    <w:rsid w:val="589377C9"/>
    <w:rsid w:val="5CA90BFD"/>
    <w:rsid w:val="5D3C6C54"/>
    <w:rsid w:val="5D7B00DB"/>
    <w:rsid w:val="60E133D9"/>
    <w:rsid w:val="61650C5E"/>
    <w:rsid w:val="656721A0"/>
    <w:rsid w:val="6BEE3094"/>
    <w:rsid w:val="713A52C0"/>
    <w:rsid w:val="7D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1443</Words>
  <Characters>742</Characters>
  <Lines>6</Lines>
  <Paragraphs>4</Paragraphs>
  <TotalTime>8</TotalTime>
  <ScaleCrop>false</ScaleCrop>
  <LinksUpToDate>false</LinksUpToDate>
  <CharactersWithSpaces>2181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2019-07-22T07:29:00Z</dcterms:created>
  <dc:creator>Administrator</dc:creator>
  <cp:lastModifiedBy>杨扬</cp:lastModifiedBy>
  <cp:lastPrinted>2019-07-24T08:44:00Z</cp:lastPrinted>
  <dcterms:modified xsi:type="dcterms:W3CDTF">2019-11-25T09:09:16Z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