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eastAsia="zh-CN"/>
        </w:rPr>
        <w:t>质量基础专项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岳阳市市场监督管理局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岳阳市市场监督管理局</w:t>
      </w:r>
      <w:r>
        <w:rPr>
          <w:rFonts w:hint="eastAsia" w:eastAsia="仿宋_GB2312"/>
          <w:sz w:val="32"/>
          <w:u w:val="single"/>
        </w:rPr>
        <w:t xml:space="preserve">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232"/>
        <w:gridCol w:w="568"/>
        <w:gridCol w:w="414"/>
        <w:gridCol w:w="306"/>
        <w:gridCol w:w="707"/>
        <w:gridCol w:w="640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许平亚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0730-8224907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岳阳市岳阳楼区青年中路</w:t>
            </w:r>
            <w:r>
              <w:rPr>
                <w:rFonts w:hint="eastAsia" w:eastAsia="仿宋_GB2312"/>
                <w:sz w:val="24"/>
                <w:lang w:val="en-US" w:eastAsia="zh-CN"/>
              </w:rPr>
              <w:t>72号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月起至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288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288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288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288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胡絮报质量科印制考核资料开支2013810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32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拨检测中心化粪池产品专项检验费2013810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44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周飚报市长质量奖宣传费开支（岳阳日报）61#2013810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7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周飚等报差旅费开支2013802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26,523.00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102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拨检测中心计量专项经费2013810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1,620,000.00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95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周志勇报交2021年度省质量协会会费开支2013810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25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拨支队质量执法办案经费2013899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80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彭玲等报差旅费开支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3018.50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记账 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彭玲等报差旅费开支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7552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记账 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彭玲等报差旅费开支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2660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记账 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彭玲等报差旅费开支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2340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记账40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4870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记账184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3488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记账71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周刚报差旅费开支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1708.5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记账27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钟郁报标准化培训开支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28,427.80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56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拨汩罗市局质量月活动经费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49000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50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周赕报差旅费开支2013804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26,949.50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25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计量科付检测中心50家企业的抽样和检测工作费用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368,400.00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73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计量科付检测中心计量服务中小企业费用开支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74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胡絮报质量科印刷资料开支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14,393.60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78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胡絮报质量监督科2021年度其他工业产品抽检费开支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98,994.00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200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胡絮报质量监督科2021年度汽柴油检测费开支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179,700.00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200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调帐2月44#凭证下拨检测中心化烘池产品专项检验费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 219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2880000</w:t>
            </w:r>
          </w:p>
        </w:tc>
        <w:tc>
          <w:tcPr>
            <w:tcW w:w="293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体目标：深入推进质量强市战略，积极探索“一站试”试点服务，着力缺陷消费品召回，全力服务高质量发展，不发生重大的服务质量事件；提升计量技术能力水平，实施“计量服务中小企业行”试点活动；紧盯标准化工作重点，坚持标准高质量发展；完成岳阳自贸片区涉及认证认可的改革任务。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印发了《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2021年岳阳质量强市工作要点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》、《岳阳市十四五质量强市发展规划》引导相关部门开展质量提升行动，在市局门户网站开通了“缺陷产品召回”信息专栏，公布手机缺陷信息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50多条。2021年全市新增注册二级计量师12名。延续注册一级计量师11名，通过全国专业基数资格考试的一级注册计量师5名，二级计量师8名，围绕高端装备制造、生物医药等支柱产业选取220件中小企业作为服务对象，实施一企一策对口服务。填补了市级标准化奖励政策的空白完成</w:t>
            </w:r>
            <w:r>
              <w:rPr>
                <w:rFonts w:hint="eastAsia" w:eastAsia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完成岳阳自贸片区涉及认证认可的改革任务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强制检定工作计量器具的备案及检定数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30000台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完成45498台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集贸市场衡器数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2000台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完成3058台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计量标准建标数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5个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开展市场监管抽查批次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660批次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完成660批次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抽查产品类别完成数量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20类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完成20类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完成生产许可证后监督抽查企业数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36个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完成36个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31"/>
              </w:tabs>
              <w:spacing w:line="3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ab/>
            </w:r>
            <w:r>
              <w:rPr>
                <w:rFonts w:hint="eastAsia" w:eastAsia="仿宋_GB2312"/>
                <w:sz w:val="24"/>
                <w:lang w:eastAsia="zh-CN"/>
              </w:rPr>
              <w:t>开展标准化试点示范项目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6个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检验检测机构双随机监督抽查比例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完成了10%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特大安全事故发生率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强制检定率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=100%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计量标准通过率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=100%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计划完成时间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12月10日前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与时间匹配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贸易结算公平性持续向好</w:t>
            </w: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赵奇志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副局长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钟辉雄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李岳军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周志勇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杨震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徐瑶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徐瑶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0730-8224907</w:t>
      </w:r>
    </w:p>
    <w:tbl>
      <w:tblPr>
        <w:tblStyle w:val="7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26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spacing w:line="560" w:lineRule="exact"/>
              <w:ind w:firstLine="64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项目基本概况</w:t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/>
              <w:ind w:right="0" w:rightChars="0" w:firstLine="642" w:firstLineChars="200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单位基本情况</w:t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/>
              <w:ind w:right="0" w:rightChars="0" w:firstLine="560" w:firstLineChars="20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根据编委核定，我局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设置机构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43个，其中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内设机构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个，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副处级综合行政执法支队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1个，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直属事业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个，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直属分局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个。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ind w:firstLine="57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内设科室分别是办公室、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综合规划和科技信息化科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政策法规科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信用监督管理科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网络交易监督管理科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广告监督管理科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登记注册科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市场规范管理科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反不正当竞争和反垄断科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价格监督管理科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投诉举报科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质量发展科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产品质量安全监督管理科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食品安全协调科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食品生产安全监督管理科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食品经营安全监督管理科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特殊食品和化妆品安全监督管理科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餐饮食品安全监督管理科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抽检监测管理科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药品生产指导协调科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药品流通监督管理科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医疗器械监督管理科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特种设备安全监察科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计量科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标准化科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认证认可监督管理科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知识产权运用促进科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知识产权保护科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消费者权益保护科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财务和审计科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人事科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机关党委（纪委）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离退休人员管理服务科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ind w:firstLine="57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副处级综合行政执法支队是岳阳市市场监管综合行政执法支队。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ind w:firstLine="570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直属事业单位为岳阳市质量计量检验监测中心，岳阳市食品药品审评认证与不良反应监测中心，岳阳市市场监督管理局机关事务管理中心，岳阳市消费者维权服务中心。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573"/>
              <w:textAlignment w:val="auto"/>
              <w:rPr>
                <w:rFonts w:hint="eastAsia" w:ascii="Arial" w:hAnsi="Arial" w:cs="Arial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直属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  <w:t>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分别是岳阳市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市场监督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经济技术开发区分局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、岳阳市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市场监督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南湖新区分局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、岳阳市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市场监督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城陵矶新港区分局。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质量基础专项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（以下简称：项目）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主要用于2021年重点工业产品监督抽查，特种设备安全监管、政府质量考核、标准化工作、专项打假及投诉处理、纤维制品质量监督、名牌战略、法人库及条码管理及其他民生领域管理监督。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本项目资金使用单位是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岳阳市市场监督管理局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机关（以下简称：局机关）检测及专项抽查承办机构为岳阳市质量计量检验检测中心（本局二级机构）。</w:t>
            </w:r>
          </w:p>
          <w:p>
            <w:pPr>
              <w:widowControl/>
              <w:shd w:val="clear" w:color="auto" w:fill="FFFFFF"/>
              <w:spacing w:line="560" w:lineRule="exact"/>
              <w:ind w:firstLine="642" w:firstLineChars="200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项目绩效目标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体目标：深入推进质量强市战略，积极探索“一站试”试点服务，着力缺陷消费品召回，全力服务高质量发展，不发生重大的服务质量事件；提升计量技术能力水平，实施“计量服务中小企业行”试点活动；紧盯标准化工作重点，坚持标准高质量发展；完成岳阳自贸片区涉及认证认可的改革任务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0" w:leftChars="0" w:firstLine="560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30"/>
                <w:szCs w:val="30"/>
              </w:rPr>
              <w:t>项目资金使用及管理情况</w:t>
            </w:r>
          </w:p>
          <w:p>
            <w:pPr>
              <w:widowControl/>
              <w:shd w:val="clear" w:color="auto" w:fill="FFFFFF"/>
              <w:spacing w:line="560" w:lineRule="exact"/>
              <w:ind w:firstLine="642" w:firstLineChars="200"/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项目资金到位情况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我局质量基础专项经费纳入部门预算管理，预算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288万元，2021年2月到位288万元。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 w:firstLine="321" w:firstLineChars="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项目资金使用情况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shd w:val="clear" w:color="auto" w:fill="FFFFFF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2020年质量基础专项收入288万元，均为本级财政资金，专项资金支出288万元，支付率100%。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明细情况如下表（单位：万元）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tbl>
            <w:tblPr>
              <w:tblStyle w:val="8"/>
              <w:tblW w:w="90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709"/>
              <w:gridCol w:w="2901"/>
              <w:gridCol w:w="2049"/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170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项目单位</w:t>
                  </w:r>
                </w:p>
              </w:tc>
              <w:tc>
                <w:tcPr>
                  <w:tcW w:w="2901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支出内容</w:t>
                  </w: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实际支出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</w:p>
                <w:p>
                  <w:pPr>
                    <w:widowControl/>
                    <w:spacing w:line="560" w:lineRule="exact"/>
                    <w:jc w:val="center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局机关</w:t>
                  </w: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lang w:val="en-US" w:eastAsia="zh-CN"/>
                    </w:rPr>
                    <w:t>培训费</w:t>
                  </w: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  <w:t>2.84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709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lang w:val="en-US" w:eastAsia="zh-CN"/>
                    </w:rPr>
                    <w:t>办公费</w:t>
                  </w: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  <w:t>0.6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709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lang w:val="en-US" w:eastAsia="zh-CN"/>
                    </w:rPr>
                    <w:t>印刷费</w:t>
                  </w: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  <w:t>2.03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709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lang w:eastAsia="zh-CN"/>
                    </w:rPr>
                    <w:t>差旅费</w:t>
                  </w: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 w:bidi="ar-SA"/>
                    </w:rPr>
                    <w:t>7.92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709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tcW w:w="290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  <w:t>检测费</w:t>
                  </w:r>
                </w:p>
              </w:tc>
              <w:tc>
                <w:tcPr>
                  <w:tcW w:w="2049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Calibri" w:hAnsi="Calibri" w:eastAsia="仿宋_GB2312" w:cs="Times New Roman"/>
                      <w:color w:val="auto"/>
                      <w:kern w:val="2"/>
                      <w:sz w:val="28"/>
                      <w:szCs w:val="28"/>
                      <w:highlight w:val="none"/>
                      <w:shd w:val="clear" w:color="auto" w:fill="auto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2"/>
                      <w:sz w:val="24"/>
                      <w:szCs w:val="24"/>
                      <w:highlight w:val="none"/>
                      <w:shd w:val="clear" w:color="auto" w:fill="auto"/>
                      <w:lang w:val="en-US" w:eastAsia="zh-CN" w:bidi="ar-SA"/>
                    </w:rPr>
                    <w:t>266.71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709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901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宣传费</w:t>
                  </w: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7.9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70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eastAsia="zh-CN"/>
                    </w:rPr>
                    <w:t>合计</w:t>
                  </w:r>
                </w:p>
              </w:tc>
              <w:tc>
                <w:tcPr>
                  <w:tcW w:w="2901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tcW w:w="2049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default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288</w:t>
                  </w:r>
                </w:p>
              </w:tc>
              <w:tc>
                <w:tcPr>
                  <w:tcW w:w="1350" w:type="dxa"/>
                  <w:noWrap w:val="0"/>
                  <w:vAlign w:val="top"/>
                </w:tcPr>
                <w:p>
                  <w:pPr>
                    <w:widowControl/>
                    <w:spacing w:line="560" w:lineRule="exact"/>
                    <w:rPr>
                      <w:rFonts w:hint="eastAsia" w:ascii="仿宋_GB2312" w:hAnsi="宋体" w:eastAsia="仿宋_GB2312"/>
                      <w:color w:val="auto"/>
                      <w:sz w:val="28"/>
                      <w:szCs w:val="28"/>
                      <w:highlight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shd w:val="clear" w:color="auto" w:fill="FFFFFF"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资金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市场监督管理局项目资金管理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执行《湖南省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专项资金管理办法》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专项资金的管理和使用符合财政预算管理的有关规定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做到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专款专用，专题研究，一事一议，集体采购，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遵循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统筹兼顾、突出重点、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踪问效的原则。专项资金使用流程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审批程序：使用单位提出申请 → 分管业务局领导审核 → 分管财务局领导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→ 局长批准。审批要求：使用单位应提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项目资金申请报告，填写《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岳阳市市场监督管理局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专项资金使用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单》。财务科对报告进行编号登记管理，对报账票据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等相关材料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审核把关。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281" w:firstLineChars="1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eastAsia="仿宋_GB2312"/>
                <w:b/>
                <w:bCs/>
                <w:sz w:val="30"/>
                <w:szCs w:val="30"/>
              </w:rPr>
              <w:t>项目组织实施情况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1、制订考核指标，明确资金投向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。根据以前年度计划完成情况，结合本年度实际，在编制年度预算时设定好绩效目标指标值，明确本年度项目资金投向，指导项目实施。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2、明确政府购买服务范围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。根据岳阳市质量计量检验检测中心的检验能力，根据相关科室审定的检测计划，核拨政府购买服务资金。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3、进行了职责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。计量科、产品质量安全监督管理科组织实施强制检定、产品质量抽检计划，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定期公布抽检结果及相关信息。督促指导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工业产品的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 查、处置、召回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、查处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质量发展科、标准化科、认证认可监督管理科对各自监管领域实施监管，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财务和审计科负责向市财政局申请资金，结合年度绩效任务核拨资金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。按相关文件要求，由市市场监管局组织实施。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考核检验检测部门检验数据正确率和检验报告的及时率；实行工作质量和工作效率考核机制。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eastAsia="仿宋_GB2312"/>
                <w:b/>
                <w:bCs/>
                <w:sz w:val="30"/>
                <w:szCs w:val="30"/>
              </w:rPr>
              <w:t>综合评价情况及评价结论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质量基础专项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资金使用符合中央、省、市文件要求，符合我市经济发展的需要。财政资金的投入，增强了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我市市场监督管理的力度，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为我市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新增长极建设创造了更加良好的市场环境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绩效评价自评小组根据《岳阳市项目支出绩效评价指标体系》方案，自评得分9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分，考评结果为优秀。（详见附表1绩效评价自评表）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（五）</w:t>
            </w:r>
            <w:r>
              <w:rPr>
                <w:rFonts w:hint="eastAsia" w:eastAsia="仿宋_GB2312"/>
                <w:sz w:val="30"/>
                <w:szCs w:val="30"/>
              </w:rPr>
              <w:t>项目主要绩效情况分析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1、量化目标及完成情况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（1）计划强制检定工作计量器具的备案及检定数30000台次，实际完成检定45498台次，完成率151.66%；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（2）计划集贸市场衡器检定2000台次，实际完成检定3058台次,完成率152.90%；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（3）计划计量标准建标数5个。实际完成5个,完成率100%；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（4）开展市场监管抽检批次660批次，实际完成660批次，完成率100%；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（5）抽查产品类别完成数量计划20类，实际完成20类，完成率100%；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（6）完成生产许可证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后监督抽查企业数量36个，实际完成36个，完成率100%；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质量目标及完成情况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（1）特大安全事故发生率为0，实际情况未发生。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（2）强制检定率100%，实际完成100%，已达标。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（3）计量标准通过率100%，实际完成100%，已达标。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（4）不合格企业后处理工作完成率100%，实际完成100%，已达标。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3、项目完成时效：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计划抽及检定样于12月10日前完成，检验于11月30日结束。到11月底已完成100%，年度任务与时间进度匹配。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（4）项目成本：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质量基础专项资金288万元纳入单位预算管理，至12月底累计到账288万元，累计支出288万元，控制在预算范围之内。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301" w:firstLineChars="1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（六）主要经验及做法、存在问题和建议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经验及做法：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合理编制绩效目标考核指标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。预算编制时，根据各科室年度工作目标，合理编制专项资金绩效考核指标，并实施跟踪监控，将计划完成情况作为核定下一个年度资金分配的重要依据。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2、突出质量抽检检验的结果运用。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认真做好监督抽查后处理及执法查处工作，积极开展监督抽查重点工业品及其他产品的通报、公告工作，组织各类工业产品专项整治，抓好不合格项目的督促整改。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存在的问题：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现有能力不足。主要是强制检定的燃气表、电能表、加气机、压力仪表、出租车计价器等检测项目数量太多，仅检验中心无法完成全市的检验检测。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人力资源短缺。市、县级法定计量检定机构人员老化、编制不足以及岗位变动频繁、能力水平不高等问题普遍存在。集贸市场计价秤、眼睛制配场所验光仪器等量大面广，因缺人才难以按时完成100%的强检任务。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适当增加财政投入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强制检定、产品质量抽检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范围广、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类目多、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任务重，建议政府逐年增加财政投入，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及时更新检验设备，加强人员培训，以适应不断更新的检验能力的需要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完善绩效管理相关制度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进一步细化工作任务，完善项目资金分配、使用及管理制度，按照职责分工和工作任务合理分配资金。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（七</w:t>
            </w:r>
            <w:r>
              <w:rPr>
                <w:rFonts w:hint="eastAsia" w:eastAsia="仿宋_GB2312"/>
                <w:b/>
                <w:bCs/>
                <w:sz w:val="30"/>
                <w:szCs w:val="30"/>
              </w:rPr>
              <w:t>）附件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spacing w:beforeLines="50"/>
        <w:rPr>
          <w:rFonts w:ascii="仿宋_GB2312" w:hAnsi="宋体" w:eastAsia="仿宋_GB2312" w:cs="宋体"/>
          <w:kern w:val="0"/>
          <w:szCs w:val="21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096E9"/>
    <w:multiLevelType w:val="singleLevel"/>
    <w:tmpl w:val="84D096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9227B8"/>
    <w:multiLevelType w:val="singleLevel"/>
    <w:tmpl w:val="CF9227B8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DFE368A5"/>
    <w:multiLevelType w:val="singleLevel"/>
    <w:tmpl w:val="DFE368A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0EEEF8FB"/>
    <w:multiLevelType w:val="singleLevel"/>
    <w:tmpl w:val="0EEEF8F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6F276B7"/>
    <w:multiLevelType w:val="singleLevel"/>
    <w:tmpl w:val="66F276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2CDFED2D"/>
    <w:rsid w:val="301703D3"/>
    <w:rsid w:val="358ED5F7"/>
    <w:rsid w:val="46367457"/>
    <w:rsid w:val="4E6B464C"/>
    <w:rsid w:val="5C92280B"/>
    <w:rsid w:val="5DEB4561"/>
    <w:rsid w:val="6B8D35F0"/>
    <w:rsid w:val="74B77EFC"/>
    <w:rsid w:val="77F9336E"/>
    <w:rsid w:val="7F7F9C41"/>
    <w:rsid w:val="BBC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1642</Words>
  <Characters>9361</Characters>
  <Lines>78</Lines>
  <Paragraphs>21</Paragraphs>
  <TotalTime>2</TotalTime>
  <ScaleCrop>false</ScaleCrop>
  <LinksUpToDate>false</LinksUpToDate>
  <CharactersWithSpaces>10982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2021-06-03T09:03:00Z</dcterms:created>
  <dc:creator>User</dc:creator>
  <cp:lastModifiedBy>瑶瑶</cp:lastModifiedBy>
  <cp:lastPrinted>2021-06-11T16:20:00Z</cp:lastPrinted>
  <dcterms:modified xsi:type="dcterms:W3CDTF">2022-06-15T15:59:45Z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