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color w:val="auto"/>
          <w:sz w:val="56"/>
          <w:szCs w:val="56"/>
        </w:rPr>
      </w:pPr>
    </w:p>
    <w:p>
      <w:pPr>
        <w:pStyle w:val="14"/>
        <w:jc w:val="center"/>
        <w:rPr>
          <w:color w:val="auto"/>
          <w:sz w:val="56"/>
          <w:szCs w:val="56"/>
        </w:rPr>
      </w:pPr>
    </w:p>
    <w:p>
      <w:pPr>
        <w:pStyle w:val="14"/>
        <w:jc w:val="center"/>
        <w:rPr>
          <w:color w:val="auto"/>
          <w:sz w:val="84"/>
          <w:szCs w:val="84"/>
        </w:rPr>
      </w:pPr>
    </w:p>
    <w:p>
      <w:pPr>
        <w:pStyle w:val="14"/>
        <w:jc w:val="center"/>
        <w:rPr>
          <w:color w:val="auto"/>
          <w:sz w:val="84"/>
          <w:szCs w:val="84"/>
        </w:rPr>
      </w:pPr>
    </w:p>
    <w:p>
      <w:pPr>
        <w:pStyle w:val="14"/>
        <w:jc w:val="center"/>
        <w:rPr>
          <w:color w:val="auto"/>
          <w:sz w:val="52"/>
          <w:szCs w:val="52"/>
        </w:rPr>
      </w:pPr>
      <w:r>
        <w:rPr>
          <w:color w:val="auto"/>
          <w:sz w:val="52"/>
          <w:szCs w:val="52"/>
        </w:rPr>
        <w:t>2020</w:t>
      </w:r>
      <w:r>
        <w:rPr>
          <w:rFonts w:hint="eastAsia"/>
          <w:color w:val="auto"/>
          <w:sz w:val="52"/>
          <w:szCs w:val="52"/>
        </w:rPr>
        <w:t>年度</w:t>
      </w:r>
    </w:p>
    <w:p>
      <w:pPr>
        <w:pStyle w:val="14"/>
        <w:jc w:val="center"/>
        <w:rPr>
          <w:color w:val="auto"/>
          <w:sz w:val="84"/>
          <w:szCs w:val="84"/>
        </w:rPr>
      </w:pPr>
      <w:r>
        <w:rPr>
          <w:rFonts w:hint="eastAsia"/>
          <w:color w:val="auto"/>
          <w:sz w:val="52"/>
          <w:szCs w:val="52"/>
        </w:rPr>
        <w:t>岳阳市市场监督管理局城陵矶新港区分局部门决算</w:t>
      </w:r>
    </w:p>
    <w:p>
      <w:pPr>
        <w:pStyle w:val="14"/>
        <w:jc w:val="center"/>
        <w:rPr>
          <w:color w:val="auto"/>
          <w:sz w:val="56"/>
          <w:szCs w:val="56"/>
        </w:rPr>
      </w:pPr>
    </w:p>
    <w:p>
      <w:pPr>
        <w:pStyle w:val="14"/>
        <w:jc w:val="center"/>
        <w:rPr>
          <w:color w:val="auto"/>
          <w:sz w:val="56"/>
          <w:szCs w:val="56"/>
        </w:rPr>
      </w:pPr>
    </w:p>
    <w:p>
      <w:pPr>
        <w:pStyle w:val="14"/>
        <w:jc w:val="center"/>
        <w:rPr>
          <w:color w:val="auto"/>
          <w:sz w:val="56"/>
          <w:szCs w:val="56"/>
        </w:rPr>
      </w:pPr>
    </w:p>
    <w:p>
      <w:pPr>
        <w:pStyle w:val="14"/>
        <w:jc w:val="center"/>
        <w:rPr>
          <w:color w:val="auto"/>
          <w:sz w:val="56"/>
          <w:szCs w:val="56"/>
        </w:rPr>
      </w:pPr>
    </w:p>
    <w:p>
      <w:pPr>
        <w:pStyle w:val="14"/>
        <w:rPr>
          <w:color w:val="auto"/>
          <w:sz w:val="32"/>
          <w:szCs w:val="32"/>
        </w:rPr>
      </w:pPr>
    </w:p>
    <w:p>
      <w:pPr>
        <w:pStyle w:val="14"/>
        <w:jc w:val="center"/>
        <w:rPr>
          <w:color w:val="auto"/>
          <w:sz w:val="32"/>
          <w:szCs w:val="32"/>
        </w:rPr>
      </w:pPr>
    </w:p>
    <w:p>
      <w:pPr>
        <w:pStyle w:val="14"/>
        <w:jc w:val="center"/>
        <w:rPr>
          <w:color w:val="auto"/>
          <w:sz w:val="32"/>
          <w:szCs w:val="32"/>
        </w:rPr>
      </w:pPr>
    </w:p>
    <w:p>
      <w:pPr>
        <w:pStyle w:val="14"/>
        <w:jc w:val="center"/>
        <w:rPr>
          <w:color w:val="auto"/>
          <w:sz w:val="32"/>
          <w:szCs w:val="32"/>
        </w:rPr>
      </w:pPr>
    </w:p>
    <w:p>
      <w:pPr>
        <w:pStyle w:val="14"/>
        <w:spacing w:line="540" w:lineRule="exact"/>
        <w:jc w:val="center"/>
        <w:rPr>
          <w:color w:val="auto"/>
          <w:sz w:val="56"/>
          <w:szCs w:val="56"/>
        </w:rPr>
      </w:pPr>
    </w:p>
    <w:p>
      <w:pPr>
        <w:pStyle w:val="14"/>
        <w:spacing w:line="500" w:lineRule="exact"/>
        <w:jc w:val="center"/>
        <w:rPr>
          <w:b/>
          <w:color w:val="auto"/>
          <w:sz w:val="36"/>
          <w:szCs w:val="28"/>
        </w:rPr>
      </w:pPr>
    </w:p>
    <w:p>
      <w:pPr>
        <w:pStyle w:val="14"/>
        <w:spacing w:line="500" w:lineRule="exact"/>
        <w:jc w:val="center"/>
        <w:rPr>
          <w:b/>
          <w:color w:val="auto"/>
          <w:sz w:val="36"/>
          <w:szCs w:val="28"/>
        </w:rPr>
      </w:pPr>
    </w:p>
    <w:p>
      <w:pPr>
        <w:pStyle w:val="14"/>
        <w:spacing w:line="500" w:lineRule="exact"/>
        <w:jc w:val="center"/>
        <w:rPr>
          <w:b/>
          <w:color w:val="auto"/>
          <w:sz w:val="36"/>
          <w:szCs w:val="28"/>
        </w:rPr>
      </w:pPr>
    </w:p>
    <w:p>
      <w:pPr>
        <w:pStyle w:val="14"/>
        <w:spacing w:line="500" w:lineRule="exact"/>
        <w:jc w:val="center"/>
        <w:rPr>
          <w:b/>
          <w:color w:val="auto"/>
          <w:sz w:val="36"/>
          <w:szCs w:val="28"/>
        </w:rPr>
      </w:pPr>
      <w:r>
        <w:rPr>
          <w:rFonts w:hint="eastAsia"/>
          <w:b/>
          <w:color w:val="auto"/>
          <w:sz w:val="36"/>
          <w:szCs w:val="28"/>
        </w:rPr>
        <w:t>目录</w:t>
      </w:r>
    </w:p>
    <w:p>
      <w:pPr>
        <w:pStyle w:val="14"/>
        <w:spacing w:line="500" w:lineRule="exact"/>
        <w:rPr>
          <w:b/>
          <w:color w:val="auto"/>
          <w:sz w:val="28"/>
          <w:szCs w:val="28"/>
        </w:rPr>
      </w:pPr>
      <w:r>
        <w:rPr>
          <w:rFonts w:hint="eastAsia"/>
          <w:b/>
          <w:color w:val="auto"/>
          <w:sz w:val="28"/>
          <w:szCs w:val="28"/>
        </w:rPr>
        <w:t>第一部分岳阳市市场监督管理局城陵矶新港区分局单位概况</w:t>
      </w:r>
    </w:p>
    <w:p>
      <w:pPr>
        <w:pStyle w:val="14"/>
        <w:spacing w:line="500" w:lineRule="exact"/>
        <w:ind w:firstLine="843" w:firstLineChars="300"/>
        <w:rPr>
          <w:b/>
          <w:color w:val="auto"/>
          <w:sz w:val="28"/>
          <w:szCs w:val="28"/>
        </w:rPr>
      </w:pPr>
      <w:r>
        <w:rPr>
          <w:rFonts w:hint="eastAsia"/>
          <w:b/>
          <w:color w:val="auto"/>
          <w:sz w:val="28"/>
          <w:szCs w:val="28"/>
        </w:rPr>
        <w:t>一、部门职责</w:t>
      </w:r>
    </w:p>
    <w:p>
      <w:pPr>
        <w:pStyle w:val="14"/>
        <w:spacing w:line="500" w:lineRule="exact"/>
        <w:ind w:firstLine="700" w:firstLineChars="250"/>
        <w:rPr>
          <w:rFonts w:ascii="宋体" w:hAnsi="宋体" w:eastAsia="宋体" w:cs="仿宋_GB2312"/>
          <w:color w:val="auto"/>
          <w:sz w:val="28"/>
          <w:szCs w:val="28"/>
        </w:rPr>
      </w:pPr>
      <w:r>
        <w:rPr>
          <w:rFonts w:hint="eastAsia" w:ascii="宋体" w:hAnsi="宋体" w:eastAsia="宋体" w:cs="仿宋_GB2312"/>
          <w:color w:val="auto"/>
          <w:sz w:val="28"/>
          <w:szCs w:val="28"/>
        </w:rPr>
        <w:t>二、机构设置</w:t>
      </w:r>
    </w:p>
    <w:p>
      <w:pPr>
        <w:pStyle w:val="14"/>
        <w:spacing w:line="500" w:lineRule="exact"/>
        <w:rPr>
          <w:rFonts w:ascii="仿宋_GB2312" w:eastAsia="仿宋_GB2312" w:cs="仿宋_GB2312"/>
          <w:b/>
          <w:color w:val="auto"/>
          <w:sz w:val="28"/>
          <w:szCs w:val="28"/>
        </w:rPr>
      </w:pPr>
      <w:r>
        <w:rPr>
          <w:rFonts w:hint="eastAsia" w:hAnsi="仿宋_GB2312"/>
          <w:b/>
          <w:color w:val="auto"/>
          <w:sz w:val="28"/>
          <w:szCs w:val="28"/>
        </w:rPr>
        <w:t>第二部分</w:t>
      </w:r>
      <w:r>
        <w:rPr>
          <w:rFonts w:hAnsi="仿宋_GB2312"/>
          <w:b/>
          <w:color w:val="auto"/>
          <w:sz w:val="28"/>
          <w:szCs w:val="28"/>
        </w:rPr>
        <w:t>2020</w:t>
      </w:r>
      <w:r>
        <w:rPr>
          <w:rFonts w:hint="eastAsia" w:hAnsi="仿宋_GB2312"/>
          <w:b/>
          <w:color w:val="auto"/>
          <w:sz w:val="28"/>
          <w:szCs w:val="28"/>
        </w:rPr>
        <w:t>年度部门决算表</w:t>
      </w:r>
    </w:p>
    <w:p>
      <w:pPr>
        <w:pStyle w:val="14"/>
        <w:spacing w:line="500" w:lineRule="exact"/>
        <w:ind w:firstLine="700" w:firstLineChars="250"/>
        <w:rPr>
          <w:rFonts w:ascii="宋体" w:hAnsi="宋体" w:eastAsia="宋体" w:cs="仿宋_GB2312"/>
          <w:color w:val="auto"/>
          <w:sz w:val="28"/>
          <w:szCs w:val="28"/>
        </w:rPr>
      </w:pPr>
      <w:r>
        <w:rPr>
          <w:rFonts w:hint="eastAsia" w:ascii="宋体" w:hAnsi="宋体" w:eastAsia="宋体" w:cs="仿宋_GB2312"/>
          <w:color w:val="auto"/>
          <w:sz w:val="28"/>
          <w:szCs w:val="28"/>
        </w:rPr>
        <w:t>一、收入支出决算总表</w:t>
      </w:r>
    </w:p>
    <w:p>
      <w:pPr>
        <w:pStyle w:val="14"/>
        <w:spacing w:line="500" w:lineRule="exact"/>
        <w:ind w:firstLine="700" w:firstLineChars="250"/>
        <w:rPr>
          <w:rFonts w:ascii="宋体" w:hAnsi="宋体" w:eastAsia="宋体" w:cs="仿宋_GB2312"/>
          <w:color w:val="auto"/>
          <w:sz w:val="28"/>
          <w:szCs w:val="28"/>
        </w:rPr>
      </w:pPr>
      <w:r>
        <w:rPr>
          <w:rFonts w:hint="eastAsia" w:ascii="宋体" w:hAnsi="宋体" w:eastAsia="宋体" w:cs="仿宋_GB2312"/>
          <w:color w:val="auto"/>
          <w:sz w:val="28"/>
          <w:szCs w:val="28"/>
        </w:rPr>
        <w:t>二、收入决算表</w:t>
      </w:r>
    </w:p>
    <w:p>
      <w:pPr>
        <w:pStyle w:val="14"/>
        <w:spacing w:line="500" w:lineRule="exact"/>
        <w:ind w:firstLine="700" w:firstLineChars="250"/>
        <w:rPr>
          <w:rFonts w:ascii="宋体" w:hAnsi="宋体" w:eastAsia="宋体" w:cs="仿宋_GB2312"/>
          <w:color w:val="auto"/>
          <w:sz w:val="28"/>
          <w:szCs w:val="28"/>
        </w:rPr>
      </w:pPr>
      <w:r>
        <w:rPr>
          <w:rFonts w:hint="eastAsia" w:ascii="宋体" w:hAnsi="宋体" w:eastAsia="宋体" w:cs="仿宋_GB2312"/>
          <w:color w:val="auto"/>
          <w:sz w:val="28"/>
          <w:szCs w:val="28"/>
        </w:rPr>
        <w:t>三、支出决算表</w:t>
      </w:r>
    </w:p>
    <w:p>
      <w:pPr>
        <w:pStyle w:val="14"/>
        <w:spacing w:line="500" w:lineRule="exact"/>
        <w:ind w:firstLine="700" w:firstLineChars="250"/>
        <w:rPr>
          <w:rFonts w:ascii="宋体" w:hAnsi="宋体" w:eastAsia="宋体" w:cs="仿宋_GB2312"/>
          <w:color w:val="auto"/>
          <w:sz w:val="28"/>
          <w:szCs w:val="28"/>
        </w:rPr>
      </w:pPr>
      <w:r>
        <w:rPr>
          <w:rFonts w:hint="eastAsia" w:ascii="宋体" w:hAnsi="宋体" w:eastAsia="宋体" w:cs="仿宋_GB2312"/>
          <w:color w:val="auto"/>
          <w:sz w:val="28"/>
          <w:szCs w:val="28"/>
        </w:rPr>
        <w:t>四、财政拨款收入支出决算总表</w:t>
      </w:r>
    </w:p>
    <w:p>
      <w:pPr>
        <w:pStyle w:val="14"/>
        <w:spacing w:line="500" w:lineRule="exact"/>
        <w:ind w:firstLine="700" w:firstLineChars="250"/>
        <w:rPr>
          <w:rFonts w:ascii="宋体" w:hAnsi="宋体" w:eastAsia="宋体" w:cs="仿宋_GB2312"/>
          <w:color w:val="auto"/>
          <w:sz w:val="28"/>
          <w:szCs w:val="28"/>
        </w:rPr>
      </w:pPr>
      <w:r>
        <w:rPr>
          <w:rFonts w:hint="eastAsia" w:ascii="宋体" w:hAnsi="宋体" w:eastAsia="宋体" w:cs="仿宋_GB2312"/>
          <w:color w:val="auto"/>
          <w:sz w:val="28"/>
          <w:szCs w:val="28"/>
        </w:rPr>
        <w:t>五、一般公共预算财政拨款支出决算表</w:t>
      </w:r>
    </w:p>
    <w:p>
      <w:pPr>
        <w:pStyle w:val="14"/>
        <w:spacing w:line="500" w:lineRule="exact"/>
        <w:ind w:firstLine="700" w:firstLineChars="250"/>
        <w:rPr>
          <w:rFonts w:ascii="宋体" w:hAnsi="宋体" w:eastAsia="宋体" w:cs="仿宋_GB2312"/>
          <w:color w:val="auto"/>
          <w:sz w:val="28"/>
          <w:szCs w:val="28"/>
        </w:rPr>
      </w:pPr>
      <w:r>
        <w:rPr>
          <w:rFonts w:hint="eastAsia" w:ascii="宋体" w:hAnsi="宋体" w:eastAsia="宋体" w:cs="仿宋_GB2312"/>
          <w:color w:val="auto"/>
          <w:sz w:val="28"/>
          <w:szCs w:val="28"/>
        </w:rPr>
        <w:t>六、一般公共预算财政拨款基本支出决算表</w:t>
      </w:r>
    </w:p>
    <w:p>
      <w:pPr>
        <w:pStyle w:val="14"/>
        <w:spacing w:line="500" w:lineRule="exact"/>
        <w:ind w:firstLine="700" w:firstLineChars="250"/>
        <w:rPr>
          <w:rFonts w:ascii="宋体" w:hAnsi="宋体" w:eastAsia="宋体" w:cs="仿宋_GB2312"/>
          <w:color w:val="auto"/>
          <w:sz w:val="28"/>
          <w:szCs w:val="28"/>
        </w:rPr>
      </w:pPr>
      <w:r>
        <w:rPr>
          <w:rFonts w:hint="eastAsia" w:ascii="宋体" w:hAnsi="宋体" w:eastAsia="宋体" w:cs="仿宋_GB2312"/>
          <w:color w:val="auto"/>
          <w:sz w:val="28"/>
          <w:szCs w:val="28"/>
        </w:rPr>
        <w:t>七、一般公共预算财政拨款“三公”经费支出决算表</w:t>
      </w:r>
    </w:p>
    <w:p>
      <w:pPr>
        <w:pStyle w:val="14"/>
        <w:spacing w:line="500" w:lineRule="exact"/>
        <w:ind w:firstLine="700" w:firstLineChars="250"/>
        <w:rPr>
          <w:rFonts w:ascii="宋体" w:hAnsi="宋体" w:eastAsia="宋体" w:cs="仿宋_GB2312"/>
          <w:color w:val="auto"/>
          <w:sz w:val="28"/>
          <w:szCs w:val="28"/>
        </w:rPr>
      </w:pPr>
      <w:r>
        <w:rPr>
          <w:rFonts w:hint="eastAsia" w:ascii="宋体" w:hAnsi="宋体" w:eastAsia="宋体" w:cs="仿宋_GB2312"/>
          <w:color w:val="auto"/>
          <w:sz w:val="28"/>
          <w:szCs w:val="28"/>
        </w:rPr>
        <w:t>八、政府性基金预算财政拨款收入支出决算表</w:t>
      </w:r>
    </w:p>
    <w:p>
      <w:pPr>
        <w:pStyle w:val="14"/>
        <w:spacing w:line="500" w:lineRule="exact"/>
        <w:ind w:firstLine="700" w:firstLineChars="250"/>
        <w:rPr>
          <w:rFonts w:ascii="宋体" w:hAnsi="宋体" w:eastAsia="宋体" w:cs="仿宋_GB2312"/>
          <w:color w:val="auto"/>
          <w:sz w:val="28"/>
          <w:szCs w:val="28"/>
        </w:rPr>
      </w:pPr>
      <w:r>
        <w:rPr>
          <w:rFonts w:hint="eastAsia" w:ascii="宋体" w:hAnsi="宋体" w:eastAsia="宋体" w:cs="仿宋_GB2312"/>
          <w:color w:val="auto"/>
          <w:sz w:val="28"/>
          <w:szCs w:val="28"/>
        </w:rPr>
        <w:t>九、国有资本经营预算财政拨款支出决算表</w:t>
      </w:r>
    </w:p>
    <w:p>
      <w:pPr>
        <w:pStyle w:val="14"/>
        <w:spacing w:line="500" w:lineRule="exact"/>
        <w:rPr>
          <w:rFonts w:ascii="仿宋_GB2312" w:eastAsia="仿宋_GB2312" w:cs="仿宋_GB2312"/>
          <w:b/>
          <w:color w:val="auto"/>
          <w:sz w:val="28"/>
          <w:szCs w:val="28"/>
        </w:rPr>
      </w:pPr>
      <w:r>
        <w:rPr>
          <w:rFonts w:hint="eastAsia" w:hAnsi="仿宋_GB2312"/>
          <w:b/>
          <w:color w:val="auto"/>
          <w:sz w:val="28"/>
          <w:szCs w:val="28"/>
        </w:rPr>
        <w:t>第三部分</w:t>
      </w:r>
      <w:r>
        <w:rPr>
          <w:rFonts w:hAnsi="仿宋_GB2312"/>
          <w:b/>
          <w:color w:val="auto"/>
          <w:sz w:val="28"/>
          <w:szCs w:val="28"/>
        </w:rPr>
        <w:t>2020</w:t>
      </w:r>
      <w:r>
        <w:rPr>
          <w:rFonts w:hint="eastAsia" w:hAnsi="仿宋_GB2312"/>
          <w:b/>
          <w:color w:val="auto"/>
          <w:sz w:val="28"/>
          <w:szCs w:val="28"/>
        </w:rPr>
        <w:t>年度部门决算情况说明</w:t>
      </w:r>
    </w:p>
    <w:p>
      <w:pPr>
        <w:pStyle w:val="14"/>
        <w:spacing w:line="500" w:lineRule="exact"/>
        <w:ind w:firstLine="700" w:firstLineChars="250"/>
        <w:rPr>
          <w:rFonts w:ascii="宋体" w:hAnsi="宋体" w:eastAsia="宋体" w:cs="仿宋_GB2312"/>
          <w:color w:val="auto"/>
          <w:sz w:val="28"/>
          <w:szCs w:val="28"/>
        </w:rPr>
      </w:pPr>
      <w:r>
        <w:rPr>
          <w:rFonts w:hint="eastAsia" w:ascii="宋体" w:hAnsi="宋体" w:eastAsia="宋体" w:cs="仿宋_GB2312"/>
          <w:color w:val="auto"/>
          <w:sz w:val="28"/>
          <w:szCs w:val="28"/>
        </w:rPr>
        <w:t>一、收入支出决算总体情况说明</w:t>
      </w:r>
    </w:p>
    <w:p>
      <w:pPr>
        <w:spacing w:line="500" w:lineRule="exact"/>
        <w:ind w:firstLine="700" w:firstLineChars="250"/>
        <w:jc w:val="left"/>
        <w:rPr>
          <w:rFonts w:ascii="仿宋_GB2312" w:eastAsia="仿宋_GB2312" w:cs="仿宋_GB2312"/>
          <w:color w:val="auto"/>
          <w:sz w:val="28"/>
          <w:szCs w:val="28"/>
        </w:rPr>
      </w:pPr>
      <w:r>
        <w:rPr>
          <w:rFonts w:hint="eastAsia" w:ascii="仿宋_GB2312" w:hAnsi="仿宋_GB2312" w:cs="仿宋_GB2312"/>
          <w:color w:val="auto"/>
          <w:sz w:val="28"/>
          <w:szCs w:val="28"/>
        </w:rPr>
        <w:t>二、收入决算情况说明</w:t>
      </w:r>
    </w:p>
    <w:p>
      <w:pPr>
        <w:autoSpaceDE w:val="0"/>
        <w:autoSpaceDN w:val="0"/>
        <w:adjustRightInd w:val="0"/>
        <w:spacing w:line="500" w:lineRule="exact"/>
        <w:ind w:firstLine="700" w:firstLineChars="250"/>
        <w:jc w:val="left"/>
        <w:rPr>
          <w:rFonts w:ascii="仿宋_GB2312" w:eastAsia="仿宋_GB2312" w:cs="仿宋_GB2312"/>
          <w:color w:val="auto"/>
          <w:kern w:val="0"/>
          <w:sz w:val="28"/>
          <w:szCs w:val="28"/>
        </w:rPr>
      </w:pPr>
      <w:r>
        <w:rPr>
          <w:rFonts w:hint="eastAsia" w:ascii="仿宋_GB2312" w:hAnsi="仿宋_GB2312" w:cs="仿宋_GB2312"/>
          <w:color w:val="auto"/>
          <w:kern w:val="0"/>
          <w:sz w:val="28"/>
          <w:szCs w:val="28"/>
        </w:rPr>
        <w:t>三、支出决算情况说明</w:t>
      </w:r>
    </w:p>
    <w:p>
      <w:pPr>
        <w:autoSpaceDE w:val="0"/>
        <w:autoSpaceDN w:val="0"/>
        <w:adjustRightInd w:val="0"/>
        <w:spacing w:line="500" w:lineRule="exact"/>
        <w:ind w:firstLine="700" w:firstLineChars="250"/>
        <w:jc w:val="left"/>
        <w:rPr>
          <w:rFonts w:ascii="仿宋_GB2312" w:eastAsia="仿宋_GB2312" w:cs="仿宋_GB2312"/>
          <w:color w:val="auto"/>
          <w:kern w:val="0"/>
          <w:sz w:val="28"/>
          <w:szCs w:val="28"/>
        </w:rPr>
      </w:pPr>
      <w:r>
        <w:rPr>
          <w:rFonts w:hint="eastAsia" w:ascii="仿宋_GB2312" w:hAnsi="仿宋_GB2312" w:cs="仿宋_GB2312"/>
          <w:color w:val="auto"/>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eastAsia="仿宋_GB2312" w:cs="仿宋_GB2312"/>
          <w:color w:val="auto"/>
          <w:kern w:val="0"/>
          <w:sz w:val="28"/>
          <w:szCs w:val="28"/>
        </w:rPr>
      </w:pPr>
      <w:r>
        <w:rPr>
          <w:rFonts w:hint="eastAsia" w:ascii="仿宋_GB2312" w:hAnsi="仿宋_GB2312" w:cs="仿宋_GB2312"/>
          <w:color w:val="auto"/>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eastAsia="仿宋_GB2312" w:cs="仿宋_GB2312"/>
          <w:color w:val="auto"/>
          <w:kern w:val="0"/>
          <w:sz w:val="28"/>
          <w:szCs w:val="28"/>
        </w:rPr>
      </w:pPr>
      <w:r>
        <w:rPr>
          <w:rFonts w:hint="eastAsia" w:ascii="仿宋_GB2312" w:hAnsi="仿宋_GB2312" w:cs="仿宋_GB2312"/>
          <w:color w:val="auto"/>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eastAsia="仿宋_GB2312" w:cs="仿宋_GB2312"/>
          <w:color w:val="auto"/>
          <w:kern w:val="0"/>
          <w:sz w:val="28"/>
          <w:szCs w:val="28"/>
        </w:rPr>
      </w:pPr>
      <w:r>
        <w:rPr>
          <w:rFonts w:hint="eastAsia" w:ascii="仿宋_GB2312" w:hAnsi="仿宋_GB2312" w:cs="仿宋_GB2312"/>
          <w:color w:val="auto"/>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eastAsia="仿宋_GB2312" w:cs="仿宋_GB2312"/>
          <w:color w:val="auto"/>
          <w:kern w:val="0"/>
          <w:sz w:val="28"/>
          <w:szCs w:val="28"/>
        </w:rPr>
      </w:pPr>
      <w:r>
        <w:rPr>
          <w:rFonts w:hint="eastAsia" w:ascii="仿宋_GB2312" w:hAnsi="仿宋_GB2312" w:cs="仿宋_GB2312"/>
          <w:color w:val="auto"/>
          <w:kern w:val="0"/>
          <w:sz w:val="28"/>
          <w:szCs w:val="28"/>
        </w:rPr>
        <w:t>八、政府性基金预算收入支出决算情况</w:t>
      </w:r>
    </w:p>
    <w:p>
      <w:pPr>
        <w:autoSpaceDE w:val="0"/>
        <w:autoSpaceDN w:val="0"/>
        <w:adjustRightInd w:val="0"/>
        <w:spacing w:line="500" w:lineRule="exact"/>
        <w:jc w:val="left"/>
        <w:rPr>
          <w:rFonts w:ascii="仿宋_GB2312" w:eastAsia="仿宋_GB2312" w:cs="仿宋_GB2312"/>
          <w:color w:val="auto"/>
          <w:kern w:val="0"/>
          <w:sz w:val="28"/>
          <w:szCs w:val="28"/>
        </w:rPr>
      </w:pPr>
      <w:r>
        <w:rPr>
          <w:rFonts w:ascii="仿宋_GB2312" w:hAnsi="仿宋_GB2312" w:cs="仿宋_GB2312"/>
          <w:color w:val="auto"/>
          <w:kern w:val="0"/>
          <w:sz w:val="28"/>
          <w:szCs w:val="28"/>
        </w:rPr>
        <w:t xml:space="preserve">     </w:t>
      </w:r>
      <w:r>
        <w:rPr>
          <w:rFonts w:hint="eastAsia" w:ascii="仿宋_GB2312" w:hAnsi="仿宋_GB2312" w:cs="仿宋_GB2312"/>
          <w:color w:val="auto"/>
          <w:kern w:val="0"/>
          <w:sz w:val="28"/>
          <w:szCs w:val="28"/>
        </w:rPr>
        <w:t>九、国有资本经营预算财政拨款支出决算情况</w:t>
      </w:r>
    </w:p>
    <w:p>
      <w:pPr>
        <w:autoSpaceDE w:val="0"/>
        <w:autoSpaceDN w:val="0"/>
        <w:adjustRightInd w:val="0"/>
        <w:spacing w:line="500" w:lineRule="exact"/>
        <w:jc w:val="left"/>
        <w:rPr>
          <w:rFonts w:ascii="仿宋_GB2312" w:eastAsia="仿宋_GB2312" w:cs="仿宋_GB2312"/>
          <w:color w:val="auto"/>
          <w:kern w:val="0"/>
          <w:sz w:val="28"/>
          <w:szCs w:val="28"/>
        </w:rPr>
      </w:pPr>
      <w:r>
        <w:rPr>
          <w:rFonts w:ascii="仿宋_GB2312" w:hAnsi="仿宋_GB2312" w:cs="仿宋_GB2312"/>
          <w:color w:val="auto"/>
          <w:kern w:val="0"/>
          <w:sz w:val="28"/>
          <w:szCs w:val="28"/>
        </w:rPr>
        <w:t xml:space="preserve">     </w:t>
      </w:r>
      <w:r>
        <w:rPr>
          <w:rFonts w:hint="eastAsia" w:ascii="仿宋_GB2312" w:hAnsi="仿宋_GB2312" w:cs="仿宋_GB2312"/>
          <w:color w:val="auto"/>
          <w:kern w:val="0"/>
          <w:sz w:val="28"/>
          <w:szCs w:val="28"/>
        </w:rPr>
        <w:t>十、关于机关运行经费支出说明</w:t>
      </w:r>
    </w:p>
    <w:p>
      <w:pPr>
        <w:autoSpaceDE w:val="0"/>
        <w:autoSpaceDN w:val="0"/>
        <w:adjustRightInd w:val="0"/>
        <w:spacing w:line="500" w:lineRule="exact"/>
        <w:jc w:val="left"/>
        <w:rPr>
          <w:rFonts w:ascii="仿宋_GB2312" w:eastAsia="仿宋_GB2312" w:cs="仿宋_GB2312"/>
          <w:color w:val="auto"/>
          <w:kern w:val="0"/>
          <w:sz w:val="28"/>
          <w:szCs w:val="28"/>
        </w:rPr>
      </w:pPr>
      <w:r>
        <w:rPr>
          <w:rFonts w:ascii="仿宋_GB2312" w:hAnsi="仿宋_GB2312" w:cs="仿宋_GB2312"/>
          <w:color w:val="auto"/>
          <w:kern w:val="0"/>
          <w:sz w:val="28"/>
          <w:szCs w:val="28"/>
        </w:rPr>
        <w:t xml:space="preserve">     </w:t>
      </w:r>
      <w:r>
        <w:rPr>
          <w:rFonts w:hint="eastAsia" w:ascii="仿宋_GB2312" w:hAnsi="仿宋_GB2312" w:cs="仿宋_GB2312"/>
          <w:color w:val="auto"/>
          <w:kern w:val="0"/>
          <w:sz w:val="28"/>
          <w:szCs w:val="28"/>
        </w:rPr>
        <w:t>十一、一般性支出情况</w:t>
      </w:r>
    </w:p>
    <w:p>
      <w:pPr>
        <w:autoSpaceDE w:val="0"/>
        <w:autoSpaceDN w:val="0"/>
        <w:adjustRightInd w:val="0"/>
        <w:spacing w:line="500" w:lineRule="exact"/>
        <w:jc w:val="left"/>
        <w:rPr>
          <w:rFonts w:ascii="仿宋_GB2312" w:eastAsia="仿宋_GB2312" w:cs="仿宋_GB2312"/>
          <w:color w:val="auto"/>
          <w:kern w:val="0"/>
          <w:sz w:val="28"/>
          <w:szCs w:val="28"/>
        </w:rPr>
      </w:pPr>
      <w:r>
        <w:rPr>
          <w:rFonts w:ascii="仿宋_GB2312" w:hAnsi="仿宋_GB2312" w:cs="仿宋_GB2312"/>
          <w:color w:val="auto"/>
          <w:kern w:val="0"/>
          <w:sz w:val="28"/>
          <w:szCs w:val="28"/>
        </w:rPr>
        <w:t xml:space="preserve">     </w:t>
      </w:r>
      <w:r>
        <w:rPr>
          <w:rFonts w:hint="eastAsia" w:ascii="仿宋_GB2312" w:hAnsi="仿宋_GB2312" w:cs="仿宋_GB2312"/>
          <w:color w:val="auto"/>
          <w:kern w:val="0"/>
          <w:sz w:val="28"/>
          <w:szCs w:val="28"/>
        </w:rPr>
        <w:t>十二、关于政府采购支出说明</w:t>
      </w:r>
    </w:p>
    <w:p>
      <w:pPr>
        <w:autoSpaceDE w:val="0"/>
        <w:autoSpaceDN w:val="0"/>
        <w:adjustRightInd w:val="0"/>
        <w:spacing w:line="500" w:lineRule="exact"/>
        <w:jc w:val="left"/>
        <w:rPr>
          <w:rFonts w:ascii="仿宋_GB2312" w:eastAsia="仿宋_GB2312" w:cs="仿宋_GB2312"/>
          <w:color w:val="auto"/>
          <w:kern w:val="0"/>
          <w:sz w:val="28"/>
          <w:szCs w:val="28"/>
        </w:rPr>
      </w:pPr>
      <w:r>
        <w:rPr>
          <w:rFonts w:ascii="仿宋_GB2312" w:hAnsi="仿宋_GB2312" w:cs="仿宋_GB2312"/>
          <w:color w:val="auto"/>
          <w:kern w:val="0"/>
          <w:sz w:val="28"/>
          <w:szCs w:val="28"/>
        </w:rPr>
        <w:t xml:space="preserve">     </w:t>
      </w:r>
      <w:r>
        <w:rPr>
          <w:rFonts w:hint="eastAsia" w:ascii="仿宋_GB2312" w:hAnsi="仿宋_GB2312" w:cs="仿宋_GB2312"/>
          <w:color w:val="auto"/>
          <w:kern w:val="0"/>
          <w:sz w:val="28"/>
          <w:szCs w:val="28"/>
        </w:rPr>
        <w:t>十三、关于国有资产占用情况说明</w:t>
      </w:r>
    </w:p>
    <w:p>
      <w:pPr>
        <w:autoSpaceDE w:val="0"/>
        <w:autoSpaceDN w:val="0"/>
        <w:adjustRightInd w:val="0"/>
        <w:spacing w:line="500" w:lineRule="exact"/>
        <w:jc w:val="left"/>
        <w:rPr>
          <w:rFonts w:ascii="仿宋_GB2312" w:eastAsia="仿宋_GB2312" w:cs="仿宋_GB2312"/>
          <w:color w:val="auto"/>
          <w:kern w:val="0"/>
          <w:sz w:val="28"/>
          <w:szCs w:val="28"/>
        </w:rPr>
      </w:pPr>
      <w:r>
        <w:rPr>
          <w:rFonts w:ascii="仿宋_GB2312" w:hAnsi="仿宋_GB2312" w:cs="仿宋_GB2312"/>
          <w:color w:val="auto"/>
          <w:kern w:val="0"/>
          <w:sz w:val="28"/>
          <w:szCs w:val="28"/>
        </w:rPr>
        <w:t xml:space="preserve">     </w:t>
      </w:r>
      <w:r>
        <w:rPr>
          <w:rFonts w:hint="eastAsia" w:ascii="仿宋_GB2312" w:hAnsi="仿宋_GB2312" w:cs="仿宋_GB2312"/>
          <w:color w:val="auto"/>
          <w:kern w:val="0"/>
          <w:sz w:val="28"/>
          <w:szCs w:val="28"/>
        </w:rPr>
        <w:t>十四、关于</w:t>
      </w:r>
      <w:r>
        <w:rPr>
          <w:rFonts w:ascii="仿宋_GB2312" w:hAnsi="仿宋_GB2312" w:cs="仿宋_GB2312"/>
          <w:color w:val="auto"/>
          <w:kern w:val="0"/>
          <w:sz w:val="28"/>
          <w:szCs w:val="28"/>
        </w:rPr>
        <w:t>2020</w:t>
      </w:r>
      <w:r>
        <w:rPr>
          <w:rFonts w:hint="eastAsia" w:ascii="仿宋_GB2312" w:hAnsi="仿宋_GB2312" w:cs="仿宋_GB2312"/>
          <w:color w:val="auto"/>
          <w:kern w:val="0"/>
          <w:sz w:val="28"/>
          <w:szCs w:val="28"/>
        </w:rPr>
        <w:t>年度预算绩效情况的说明</w:t>
      </w:r>
    </w:p>
    <w:p>
      <w:pPr>
        <w:autoSpaceDE w:val="0"/>
        <w:autoSpaceDN w:val="0"/>
        <w:adjustRightInd w:val="0"/>
        <w:spacing w:line="500" w:lineRule="exact"/>
        <w:jc w:val="left"/>
        <w:rPr>
          <w:rFonts w:ascii="黑体" w:hAnsi="黑体" w:eastAsia="黑体" w:cs="黑体"/>
          <w:b/>
          <w:color w:val="auto"/>
          <w:kern w:val="0"/>
          <w:sz w:val="28"/>
          <w:szCs w:val="28"/>
        </w:rPr>
      </w:pPr>
      <w:r>
        <w:rPr>
          <w:rFonts w:hint="eastAsia" w:ascii="黑体" w:hAnsi="黑体" w:eastAsia="黑体" w:cs="黑体"/>
          <w:b/>
          <w:color w:val="auto"/>
          <w:kern w:val="0"/>
          <w:sz w:val="28"/>
          <w:szCs w:val="28"/>
        </w:rPr>
        <w:t>第四部分名词解释</w:t>
      </w:r>
    </w:p>
    <w:p>
      <w:pPr>
        <w:autoSpaceDE w:val="0"/>
        <w:autoSpaceDN w:val="0"/>
        <w:adjustRightInd w:val="0"/>
        <w:spacing w:line="500" w:lineRule="exact"/>
        <w:jc w:val="left"/>
        <w:rPr>
          <w:rFonts w:ascii="黑体" w:hAnsi="黑体" w:eastAsia="黑体" w:cs="仿宋_GB2312"/>
          <w:b/>
          <w:color w:val="auto"/>
          <w:kern w:val="0"/>
          <w:sz w:val="28"/>
          <w:szCs w:val="28"/>
        </w:rPr>
      </w:pPr>
      <w:r>
        <w:rPr>
          <w:rFonts w:hint="eastAsia" w:ascii="黑体" w:hAnsi="黑体" w:eastAsia="黑体" w:cs="黑体"/>
          <w:b/>
          <w:color w:val="auto"/>
          <w:kern w:val="0"/>
          <w:sz w:val="28"/>
          <w:szCs w:val="28"/>
        </w:rPr>
        <w:t>第五部分附件</w:t>
      </w: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rPr>
          <w:color w:val="auto"/>
          <w:sz w:val="72"/>
          <w:szCs w:val="72"/>
        </w:rPr>
      </w:pPr>
    </w:p>
    <w:p>
      <w:pPr>
        <w:pStyle w:val="14"/>
        <w:jc w:val="center"/>
        <w:rPr>
          <w:rFonts w:ascii="方正小标宋_GBK" w:hAnsi="方正小标宋_GBK" w:eastAsia="方正小标宋_GBK" w:cs="方正小标宋_GBK"/>
          <w:color w:val="auto"/>
          <w:sz w:val="44"/>
          <w:szCs w:val="44"/>
        </w:rPr>
      </w:pPr>
    </w:p>
    <w:p>
      <w:pPr>
        <w:pStyle w:val="14"/>
        <w:jc w:val="center"/>
        <w:rPr>
          <w:rFonts w:ascii="方正小标宋_GBK" w:hAnsi="方正小标宋_GBK" w:eastAsia="方正小标宋_GBK" w:cs="方正小标宋_GBK"/>
          <w:color w:val="auto"/>
          <w:sz w:val="44"/>
          <w:szCs w:val="44"/>
        </w:rPr>
      </w:pPr>
    </w:p>
    <w:p>
      <w:pPr>
        <w:pStyle w:val="14"/>
        <w:jc w:val="center"/>
        <w:rPr>
          <w:rFonts w:ascii="方正小标宋_GBK" w:hAnsi="方正小标宋_GBK" w:eastAsia="方正小标宋_GBK" w:cs="方正小标宋_GBK"/>
          <w:color w:val="auto"/>
          <w:sz w:val="44"/>
          <w:szCs w:val="44"/>
        </w:rPr>
      </w:pPr>
    </w:p>
    <w:p>
      <w:pPr>
        <w:pStyle w:val="14"/>
        <w:jc w:val="center"/>
        <w:rPr>
          <w:rFonts w:ascii="方正小标宋_GBK" w:hAnsi="方正小标宋_GBK" w:eastAsia="方正小标宋_GBK" w:cs="方正小标宋_GBK"/>
          <w:color w:val="auto"/>
          <w:sz w:val="44"/>
          <w:szCs w:val="44"/>
        </w:rPr>
      </w:pPr>
    </w:p>
    <w:p>
      <w:pPr>
        <w:pStyle w:val="14"/>
        <w:jc w:val="center"/>
        <w:rPr>
          <w:rFonts w:ascii="方正小标宋_GBK" w:hAnsi="方正小标宋_GBK" w:eastAsia="方正小标宋_GBK" w:cs="方正小标宋_GBK"/>
          <w:color w:val="auto"/>
          <w:sz w:val="44"/>
          <w:szCs w:val="44"/>
        </w:rPr>
      </w:pPr>
    </w:p>
    <w:p>
      <w:pPr>
        <w:pStyle w:val="14"/>
        <w:jc w:val="center"/>
        <w:rPr>
          <w:rFonts w:ascii="方正小标宋_GBK" w:hAnsi="方正小标宋_GBK" w:eastAsia="方正小标宋_GBK" w:cs="方正小标宋_GBK"/>
          <w:color w:val="auto"/>
          <w:sz w:val="44"/>
          <w:szCs w:val="44"/>
        </w:rPr>
      </w:pPr>
    </w:p>
    <w:p>
      <w:pPr>
        <w:pStyle w:val="14"/>
        <w:jc w:val="center"/>
        <w:rPr>
          <w:rFonts w:ascii="方正小标宋_GBK" w:hAnsi="方正小标宋_GBK" w:eastAsia="方正小标宋_GBK" w:cs="方正小标宋_GBK"/>
          <w:color w:val="auto"/>
          <w:sz w:val="44"/>
          <w:szCs w:val="44"/>
        </w:rPr>
      </w:pPr>
    </w:p>
    <w:p>
      <w:pPr>
        <w:pStyle w:val="14"/>
        <w:jc w:val="center"/>
        <w:rPr>
          <w:rFonts w:ascii="方正小标宋_GBK" w:hAnsi="方正小标宋_GBK" w:eastAsia="方正小标宋_GBK" w:cs="方正小标宋_GBK"/>
          <w:color w:val="auto"/>
          <w:sz w:val="44"/>
          <w:szCs w:val="44"/>
        </w:rPr>
      </w:pPr>
    </w:p>
    <w:p>
      <w:pPr>
        <w:pStyle w:val="14"/>
        <w:jc w:val="center"/>
        <w:rPr>
          <w:rFonts w:ascii="方正小标宋_GBK" w:hAnsi="方正小标宋_GBK" w:eastAsia="方正小标宋_GBK" w:cs="方正小标宋_GBK"/>
          <w:color w:val="auto"/>
          <w:sz w:val="44"/>
          <w:szCs w:val="44"/>
        </w:rPr>
      </w:pPr>
    </w:p>
    <w:p>
      <w:pPr>
        <w:pStyle w:val="14"/>
        <w:jc w:val="center"/>
        <w:rPr>
          <w:rFonts w:ascii="方正小标宋_GBK" w:hAnsi="方正小标宋_GBK" w:eastAsia="方正小标宋_GBK" w:cs="方正小标宋_GBK"/>
          <w:color w:val="auto"/>
          <w:sz w:val="44"/>
          <w:szCs w:val="44"/>
        </w:rPr>
      </w:pPr>
    </w:p>
    <w:p>
      <w:pPr>
        <w:pStyle w:val="14"/>
        <w:jc w:val="center"/>
        <w:rPr>
          <w:rFonts w:hAnsi="黑体"/>
          <w:color w:val="auto"/>
          <w:sz w:val="44"/>
          <w:szCs w:val="44"/>
        </w:rPr>
      </w:pPr>
    </w:p>
    <w:p>
      <w:pPr>
        <w:pStyle w:val="14"/>
        <w:jc w:val="center"/>
        <w:rPr>
          <w:rFonts w:hAnsi="黑体"/>
          <w:color w:val="auto"/>
          <w:sz w:val="44"/>
          <w:szCs w:val="44"/>
        </w:rPr>
      </w:pPr>
    </w:p>
    <w:p>
      <w:pPr>
        <w:pStyle w:val="14"/>
        <w:jc w:val="center"/>
        <w:rPr>
          <w:rFonts w:hAnsi="黑体"/>
          <w:color w:val="auto"/>
          <w:sz w:val="44"/>
          <w:szCs w:val="44"/>
        </w:rPr>
      </w:pPr>
    </w:p>
    <w:p>
      <w:pPr>
        <w:pStyle w:val="14"/>
        <w:jc w:val="center"/>
        <w:rPr>
          <w:rFonts w:hAnsi="黑体"/>
          <w:color w:val="auto"/>
          <w:sz w:val="44"/>
          <w:szCs w:val="44"/>
        </w:rPr>
      </w:pPr>
    </w:p>
    <w:p>
      <w:pPr>
        <w:pStyle w:val="14"/>
        <w:jc w:val="center"/>
        <w:rPr>
          <w:rFonts w:hAnsi="黑体"/>
          <w:color w:val="auto"/>
          <w:sz w:val="44"/>
          <w:szCs w:val="44"/>
        </w:rPr>
      </w:pPr>
    </w:p>
    <w:p>
      <w:pPr>
        <w:pStyle w:val="14"/>
        <w:jc w:val="center"/>
        <w:rPr>
          <w:rFonts w:hAnsi="黑体"/>
          <w:color w:val="auto"/>
          <w:sz w:val="84"/>
          <w:szCs w:val="84"/>
        </w:rPr>
      </w:pPr>
    </w:p>
    <w:p>
      <w:pPr>
        <w:pStyle w:val="14"/>
        <w:jc w:val="center"/>
        <w:rPr>
          <w:rFonts w:hAnsi="黑体"/>
          <w:color w:val="auto"/>
          <w:sz w:val="84"/>
          <w:szCs w:val="84"/>
        </w:rPr>
      </w:pPr>
    </w:p>
    <w:p>
      <w:pPr>
        <w:pStyle w:val="14"/>
        <w:jc w:val="center"/>
        <w:rPr>
          <w:rFonts w:hAnsi="黑体"/>
          <w:color w:val="auto"/>
          <w:sz w:val="84"/>
          <w:szCs w:val="84"/>
        </w:rPr>
      </w:pPr>
    </w:p>
    <w:p>
      <w:pPr>
        <w:pStyle w:val="14"/>
        <w:jc w:val="center"/>
        <w:rPr>
          <w:rFonts w:hAnsi="黑体"/>
          <w:color w:val="auto"/>
          <w:sz w:val="44"/>
          <w:szCs w:val="44"/>
        </w:rPr>
      </w:pPr>
      <w:r>
        <w:rPr>
          <w:rFonts w:hint="eastAsia" w:hAnsi="黑体"/>
          <w:color w:val="auto"/>
          <w:sz w:val="44"/>
          <w:szCs w:val="44"/>
        </w:rPr>
        <w:t>第一部分</w:t>
      </w:r>
      <w:r>
        <w:rPr>
          <w:rFonts w:hAnsi="黑体"/>
          <w:color w:val="auto"/>
          <w:sz w:val="44"/>
          <w:szCs w:val="44"/>
        </w:rPr>
        <w:t xml:space="preserve"> </w:t>
      </w:r>
    </w:p>
    <w:p>
      <w:pPr>
        <w:pStyle w:val="14"/>
        <w:jc w:val="center"/>
        <w:rPr>
          <w:rFonts w:hAnsi="黑体"/>
          <w:color w:val="auto"/>
          <w:sz w:val="44"/>
          <w:szCs w:val="44"/>
        </w:rPr>
      </w:pPr>
    </w:p>
    <w:p>
      <w:pPr>
        <w:pStyle w:val="14"/>
        <w:jc w:val="center"/>
        <w:rPr>
          <w:rFonts w:hAnsi="黑体"/>
          <w:color w:val="auto"/>
          <w:sz w:val="44"/>
          <w:szCs w:val="44"/>
        </w:rPr>
      </w:pPr>
      <w:r>
        <w:rPr>
          <w:rFonts w:hint="eastAsia" w:hAnsi="黑体"/>
          <w:color w:val="auto"/>
          <w:sz w:val="44"/>
          <w:szCs w:val="44"/>
        </w:rPr>
        <w:t>岳阳市市场监督管理局城陵矶新港区分局单位概况</w:t>
      </w:r>
    </w:p>
    <w:p>
      <w:pPr>
        <w:pStyle w:val="15"/>
        <w:ind w:firstLine="0" w:firstLineChars="0"/>
        <w:jc w:val="left"/>
        <w:rPr>
          <w:rFonts w:ascii="黑体" w:hAnsi="黑体" w:eastAsia="黑体"/>
          <w:color w:val="auto"/>
          <w:sz w:val="84"/>
          <w:szCs w:val="84"/>
        </w:rPr>
      </w:pPr>
    </w:p>
    <w:p>
      <w:pPr>
        <w:pStyle w:val="15"/>
        <w:ind w:firstLine="0" w:firstLineChars="0"/>
        <w:jc w:val="left"/>
        <w:rPr>
          <w:rFonts w:ascii="黑体" w:hAnsi="黑体" w:eastAsia="黑体"/>
          <w:color w:val="auto"/>
          <w:sz w:val="84"/>
          <w:szCs w:val="84"/>
        </w:rPr>
      </w:pPr>
    </w:p>
    <w:p>
      <w:pPr>
        <w:pStyle w:val="15"/>
        <w:ind w:firstLine="0" w:firstLineChars="0"/>
        <w:jc w:val="left"/>
        <w:rPr>
          <w:rFonts w:ascii="黑体" w:hAnsi="黑体" w:eastAsia="黑体"/>
          <w:color w:val="auto"/>
          <w:sz w:val="28"/>
          <w:szCs w:val="28"/>
        </w:rPr>
      </w:pPr>
    </w:p>
    <w:p>
      <w:pPr>
        <w:pStyle w:val="15"/>
        <w:ind w:firstLine="0" w:firstLineChars="0"/>
        <w:jc w:val="left"/>
        <w:rPr>
          <w:rFonts w:ascii="黑体" w:hAnsi="黑体" w:eastAsia="黑体"/>
          <w:color w:val="auto"/>
          <w:sz w:val="28"/>
          <w:szCs w:val="28"/>
        </w:rPr>
      </w:pPr>
    </w:p>
    <w:p>
      <w:pPr>
        <w:pStyle w:val="15"/>
        <w:ind w:firstLine="0" w:firstLineChars="0"/>
        <w:jc w:val="left"/>
        <w:rPr>
          <w:rFonts w:ascii="黑体" w:hAnsi="黑体" w:eastAsia="黑体"/>
          <w:color w:val="auto"/>
          <w:sz w:val="28"/>
          <w:szCs w:val="28"/>
        </w:rPr>
      </w:pPr>
    </w:p>
    <w:p>
      <w:pPr>
        <w:pStyle w:val="15"/>
        <w:ind w:firstLine="0" w:firstLineChars="0"/>
        <w:jc w:val="left"/>
        <w:rPr>
          <w:rFonts w:ascii="黑体" w:hAnsi="黑体" w:eastAsia="黑体"/>
          <w:color w:val="auto"/>
          <w:sz w:val="28"/>
          <w:szCs w:val="28"/>
        </w:rPr>
      </w:pPr>
    </w:p>
    <w:p>
      <w:pPr>
        <w:pStyle w:val="15"/>
        <w:ind w:firstLine="0" w:firstLineChars="0"/>
        <w:jc w:val="left"/>
        <w:rPr>
          <w:rFonts w:ascii="黑体" w:hAnsi="黑体" w:eastAsia="黑体"/>
          <w:color w:val="auto"/>
          <w:sz w:val="28"/>
          <w:szCs w:val="28"/>
        </w:rPr>
      </w:pPr>
    </w:p>
    <w:p>
      <w:pPr>
        <w:pStyle w:val="15"/>
        <w:ind w:firstLine="0" w:firstLineChars="0"/>
        <w:jc w:val="left"/>
        <w:rPr>
          <w:rFonts w:ascii="黑体" w:hAnsi="黑体" w:eastAsia="黑体"/>
          <w:color w:val="auto"/>
          <w:sz w:val="28"/>
          <w:szCs w:val="28"/>
        </w:rPr>
      </w:pPr>
    </w:p>
    <w:p>
      <w:pPr>
        <w:pStyle w:val="15"/>
        <w:ind w:firstLine="0" w:firstLineChars="0"/>
        <w:jc w:val="left"/>
        <w:rPr>
          <w:rFonts w:ascii="黑体" w:hAnsi="黑体" w:eastAsia="黑体"/>
          <w:color w:val="auto"/>
          <w:sz w:val="28"/>
          <w:szCs w:val="28"/>
        </w:rPr>
      </w:pPr>
    </w:p>
    <w:p>
      <w:pPr>
        <w:pStyle w:val="15"/>
        <w:ind w:firstLine="0" w:firstLineChars="0"/>
        <w:jc w:val="left"/>
        <w:rPr>
          <w:rFonts w:ascii="黑体" w:hAnsi="黑体" w:eastAsia="黑体"/>
          <w:color w:val="auto"/>
          <w:sz w:val="28"/>
          <w:szCs w:val="28"/>
        </w:rPr>
      </w:pPr>
    </w:p>
    <w:p>
      <w:pPr>
        <w:pStyle w:val="15"/>
        <w:ind w:firstLine="0" w:firstLineChars="0"/>
        <w:jc w:val="left"/>
        <w:rPr>
          <w:rFonts w:ascii="黑体" w:hAnsi="黑体" w:eastAsia="黑体"/>
          <w:color w:val="auto"/>
          <w:sz w:val="28"/>
          <w:szCs w:val="28"/>
        </w:rPr>
      </w:pPr>
    </w:p>
    <w:p>
      <w:pPr>
        <w:pStyle w:val="15"/>
        <w:ind w:firstLine="0" w:firstLineChars="0"/>
        <w:jc w:val="left"/>
        <w:rPr>
          <w:rFonts w:ascii="黑体" w:hAnsi="黑体" w:eastAsia="黑体"/>
          <w:color w:val="auto"/>
          <w:sz w:val="28"/>
          <w:szCs w:val="28"/>
        </w:rPr>
      </w:pPr>
    </w:p>
    <w:p>
      <w:pPr>
        <w:pStyle w:val="15"/>
        <w:ind w:firstLine="0" w:firstLineChars="0"/>
        <w:jc w:val="left"/>
        <w:rPr>
          <w:rFonts w:ascii="黑体" w:hAnsi="黑体" w:eastAsia="黑体"/>
          <w:color w:val="auto"/>
          <w:sz w:val="28"/>
          <w:szCs w:val="28"/>
        </w:rPr>
      </w:pPr>
    </w:p>
    <w:p>
      <w:pPr>
        <w:pStyle w:val="15"/>
        <w:ind w:firstLine="0" w:firstLineChars="0"/>
        <w:jc w:val="left"/>
        <w:rPr>
          <w:rFonts w:ascii="黑体" w:hAnsi="黑体" w:eastAsia="黑体"/>
          <w:color w:val="auto"/>
          <w:sz w:val="28"/>
          <w:szCs w:val="28"/>
        </w:rPr>
      </w:pPr>
      <w:r>
        <w:rPr>
          <w:rFonts w:hint="eastAsia" w:ascii="黑体" w:hAnsi="黑体" w:eastAsia="黑体"/>
          <w:color w:val="auto"/>
          <w:sz w:val="28"/>
          <w:szCs w:val="28"/>
        </w:rPr>
        <w:t>一、部门职责</w:t>
      </w:r>
    </w:p>
    <w:p>
      <w:pPr>
        <w:ind w:firstLine="560" w:firstLineChars="200"/>
        <w:jc w:val="left"/>
        <w:rPr>
          <w:rFonts w:ascii="仿宋_GB2312" w:eastAsia="仿宋_GB2312" w:cs="仿宋_GB2312"/>
          <w:color w:val="auto"/>
          <w:kern w:val="0"/>
          <w:sz w:val="28"/>
          <w:szCs w:val="28"/>
        </w:rPr>
      </w:pPr>
      <w:r>
        <w:rPr>
          <w:rFonts w:hint="eastAsia" w:ascii="仿宋_GB2312" w:hAnsi="仿宋_GB2312" w:cs="仿宋_GB2312"/>
          <w:color w:val="auto"/>
          <w:kern w:val="0"/>
          <w:sz w:val="28"/>
          <w:szCs w:val="28"/>
        </w:rPr>
        <w:t>（一）负责市场综合监督管理。贯彻执行国家市场监督管理的方针、政策和法律法规规章，组织实施质量强区、食品安全、标准化和知识产权等战略，拟订并组织实施有关规划，规范和维护市场秩序，营造诚实守信、公平竞争的市场环境。</w:t>
      </w:r>
    </w:p>
    <w:p>
      <w:pPr>
        <w:ind w:firstLine="560" w:firstLineChars="200"/>
        <w:jc w:val="left"/>
        <w:rPr>
          <w:rFonts w:ascii="仿宋_GB2312" w:eastAsia="仿宋_GB2312" w:cs="仿宋_GB2312"/>
          <w:color w:val="auto"/>
          <w:kern w:val="0"/>
          <w:sz w:val="28"/>
          <w:szCs w:val="28"/>
        </w:rPr>
      </w:pPr>
      <w:r>
        <w:rPr>
          <w:rFonts w:hint="eastAsia" w:ascii="仿宋_GB2312" w:hAnsi="仿宋_GB2312" w:cs="仿宋_GB2312"/>
          <w:color w:val="auto"/>
          <w:kern w:val="0"/>
          <w:sz w:val="28"/>
          <w:szCs w:val="28"/>
        </w:rPr>
        <w:t>（二）负责市场主体统一登记注册工作。负责新港区各类企业、农民专业合作社和从事经营活动的单位、个体工商户等市场主体的登记注册工作。建立市场主体信息公示和共享机制，依法公示和共享有关信息，加强信用监管，推动市场主体信用体系建设。</w:t>
      </w:r>
    </w:p>
    <w:p>
      <w:pPr>
        <w:ind w:firstLine="560" w:firstLineChars="200"/>
        <w:jc w:val="left"/>
        <w:rPr>
          <w:rFonts w:ascii="仿宋_GB2312" w:eastAsia="仿宋_GB2312" w:cs="仿宋_GB2312"/>
          <w:color w:val="auto"/>
          <w:kern w:val="0"/>
          <w:sz w:val="28"/>
          <w:szCs w:val="28"/>
        </w:rPr>
      </w:pPr>
      <w:r>
        <w:rPr>
          <w:rFonts w:hint="eastAsia" w:ascii="仿宋_GB2312" w:hAnsi="仿宋_GB2312" w:cs="仿宋_GB2312"/>
          <w:color w:val="auto"/>
          <w:kern w:val="0"/>
          <w:sz w:val="28"/>
          <w:szCs w:val="28"/>
        </w:rPr>
        <w:t>（三）负责组织指导市场监管综合执法工作。完善全区市场监管综合执法队伍整合和建设，推动实行统一的市场监管。组织查处违法案件。规范市场监管行政执法行为。</w:t>
      </w:r>
    </w:p>
    <w:p>
      <w:pPr>
        <w:ind w:firstLine="560" w:firstLineChars="200"/>
        <w:jc w:val="left"/>
        <w:rPr>
          <w:rFonts w:ascii="仿宋_GB2312" w:eastAsia="仿宋_GB2312" w:cs="仿宋_GB2312"/>
          <w:color w:val="auto"/>
          <w:kern w:val="0"/>
          <w:sz w:val="28"/>
          <w:szCs w:val="28"/>
        </w:rPr>
      </w:pPr>
      <w:r>
        <w:rPr>
          <w:rFonts w:hint="eastAsia" w:ascii="仿宋_GB2312" w:hAnsi="仿宋_GB2312" w:cs="仿宋_GB2312"/>
          <w:color w:val="auto"/>
          <w:kern w:val="0"/>
          <w:sz w:val="28"/>
          <w:szCs w:val="28"/>
        </w:rPr>
        <w:t>（四）</w:t>
      </w:r>
      <w:r>
        <w:rPr>
          <w:rFonts w:ascii="仿宋_GB2312" w:hAnsi="仿宋_GB2312" w:cs="仿宋_GB2312"/>
          <w:color w:val="auto"/>
          <w:kern w:val="0"/>
          <w:sz w:val="28"/>
          <w:szCs w:val="28"/>
        </w:rPr>
        <w:t xml:space="preserve"> </w:t>
      </w:r>
      <w:r>
        <w:rPr>
          <w:rFonts w:hint="eastAsia" w:ascii="仿宋_GB2312" w:hAnsi="仿宋_GB2312" w:cs="仿宋_GB2312"/>
          <w:color w:val="auto"/>
          <w:kern w:val="0"/>
          <w:sz w:val="28"/>
          <w:szCs w:val="28"/>
        </w:rPr>
        <w:t>依委托开展反垄断统一执法调查工作。依委托协助开展垄断协议、滥用市场支配地位和滥用行政权力排除、限制竞争等反垄断执法调查工作。</w:t>
      </w:r>
    </w:p>
    <w:p>
      <w:pPr>
        <w:ind w:firstLine="560" w:firstLineChars="200"/>
        <w:jc w:val="left"/>
        <w:rPr>
          <w:rFonts w:ascii="仿宋_GB2312" w:eastAsia="仿宋_GB2312" w:cs="仿宋_GB2312"/>
          <w:color w:val="auto"/>
          <w:kern w:val="0"/>
          <w:sz w:val="28"/>
          <w:szCs w:val="28"/>
        </w:rPr>
      </w:pPr>
      <w:r>
        <w:rPr>
          <w:rFonts w:hint="eastAsia" w:ascii="仿宋_GB2312" w:hAnsi="仿宋_GB2312" w:cs="仿宋_GB2312"/>
          <w:color w:val="auto"/>
          <w:kern w:val="0"/>
          <w:sz w:val="28"/>
          <w:szCs w:val="28"/>
        </w:rPr>
        <w:t>（五）负责监督管理市场秩序。依法监督管理市场交易、网络商品交易及有关服务的行为。组织指导查处价格收费违法违规、不正当竞争、违法直销、传销、侵犯商标专利知识产权和制售假冒伪劣行为。依法实施合同、拍卖行为的监督管理，管理动产抵押物登记。指导广告业的发展，监督管理广告活动。承担依法查处无照生产经营和相关无证生产经营行为。</w:t>
      </w:r>
    </w:p>
    <w:p>
      <w:pPr>
        <w:ind w:firstLine="560" w:firstLineChars="200"/>
        <w:jc w:val="left"/>
        <w:rPr>
          <w:rFonts w:ascii="仿宋_GB2312" w:eastAsia="仿宋_GB2312" w:cs="仿宋_GB2312"/>
          <w:color w:val="auto"/>
          <w:kern w:val="0"/>
          <w:sz w:val="28"/>
          <w:szCs w:val="28"/>
        </w:rPr>
      </w:pPr>
      <w:r>
        <w:rPr>
          <w:rFonts w:hint="eastAsia" w:ascii="仿宋_GB2312" w:hAnsi="仿宋_GB2312" w:cs="仿宋_GB2312"/>
          <w:color w:val="auto"/>
          <w:kern w:val="0"/>
          <w:sz w:val="28"/>
          <w:szCs w:val="28"/>
        </w:rPr>
        <w:t>（六）负责宏观质量管理。贯彻国家、省、市质量发展的有关政策，拟订推进质量发展战略的政策措施并组织实施，对新港区质量管理工作进行宏观指导。组织实施质量奖励制度，积极推进质量强区战略和品牌建设，推动建立产品质量诚信制度；负责政府质量工作考核；组织实施产品和服务质量提升、开展服务质量监测；按规定权限组织对产品质量事故调查，配合实施缺陷产品召回制度，监督管理产品防伪工作。</w:t>
      </w:r>
    </w:p>
    <w:p>
      <w:pPr>
        <w:ind w:firstLine="560" w:firstLineChars="200"/>
        <w:jc w:val="left"/>
        <w:rPr>
          <w:rFonts w:ascii="仿宋_GB2312" w:eastAsia="仿宋_GB2312" w:cs="仿宋_GB2312"/>
          <w:color w:val="auto"/>
          <w:kern w:val="0"/>
          <w:sz w:val="28"/>
          <w:szCs w:val="28"/>
        </w:rPr>
      </w:pPr>
      <w:r>
        <w:rPr>
          <w:rFonts w:hint="eastAsia" w:ascii="仿宋_GB2312" w:hAnsi="仿宋_GB2312" w:cs="仿宋_GB2312"/>
          <w:color w:val="auto"/>
          <w:kern w:val="0"/>
          <w:sz w:val="28"/>
          <w:szCs w:val="28"/>
        </w:rPr>
        <w:t>（七）负责产品质量安全监督管理。负责产品质量安全监督抽查和风险监控工作，组织实施质量分级制度、质量安全追溯制度。负责工业产品生产许可管理。负责纤维质量监督检验工作。</w:t>
      </w:r>
    </w:p>
    <w:p>
      <w:pPr>
        <w:ind w:firstLine="560" w:firstLineChars="200"/>
        <w:jc w:val="left"/>
        <w:rPr>
          <w:rFonts w:ascii="仿宋_GB2312" w:eastAsia="仿宋_GB2312" w:cs="仿宋_GB2312"/>
          <w:color w:val="auto"/>
          <w:kern w:val="0"/>
          <w:sz w:val="28"/>
          <w:szCs w:val="28"/>
        </w:rPr>
      </w:pPr>
      <w:r>
        <w:rPr>
          <w:rFonts w:hint="eastAsia" w:ascii="仿宋_GB2312" w:hAnsi="仿宋_GB2312" w:cs="仿宋_GB2312"/>
          <w:color w:val="auto"/>
          <w:kern w:val="0"/>
          <w:sz w:val="28"/>
          <w:szCs w:val="28"/>
        </w:rPr>
        <w:t>（八）负责特种设备安全监督管理。综合管理特种设备安全监察、监督工作，监督检查高耗能特种设备节能标准和锅炉生产、进口、销售环节环境保护标准的执行情况。按规定权限组织调查处理特种设备事故并进行统计分析。</w:t>
      </w:r>
    </w:p>
    <w:p>
      <w:pPr>
        <w:ind w:firstLine="560" w:firstLineChars="200"/>
        <w:jc w:val="left"/>
        <w:rPr>
          <w:rFonts w:ascii="仿宋_GB2312" w:eastAsia="仿宋_GB2312" w:cs="仿宋_GB2312"/>
          <w:color w:val="auto"/>
          <w:kern w:val="0"/>
          <w:sz w:val="28"/>
          <w:szCs w:val="28"/>
        </w:rPr>
      </w:pPr>
      <w:r>
        <w:rPr>
          <w:rFonts w:hint="eastAsia" w:ascii="仿宋_GB2312" w:hAnsi="仿宋_GB2312" w:cs="仿宋_GB2312"/>
          <w:color w:val="auto"/>
          <w:kern w:val="0"/>
          <w:sz w:val="28"/>
          <w:szCs w:val="28"/>
        </w:rPr>
        <w:t>（九）负责城陵矶新港区食品安全监督管理综合协调。负责食品安全应急体系建设，组织食品安全事件应急处置和调查处理工作。落实食品安全重要信息直报制度。</w:t>
      </w:r>
    </w:p>
    <w:p>
      <w:pPr>
        <w:ind w:firstLine="560" w:firstLineChars="200"/>
        <w:jc w:val="left"/>
        <w:rPr>
          <w:rFonts w:ascii="仿宋_GB2312" w:eastAsia="仿宋_GB2312" w:cs="仿宋_GB2312"/>
          <w:color w:val="auto"/>
          <w:kern w:val="0"/>
          <w:sz w:val="28"/>
          <w:szCs w:val="28"/>
        </w:rPr>
      </w:pPr>
      <w:r>
        <w:rPr>
          <w:rFonts w:hint="eastAsia" w:ascii="仿宋_GB2312" w:hAnsi="仿宋_GB2312" w:cs="仿宋_GB2312"/>
          <w:color w:val="auto"/>
          <w:kern w:val="0"/>
          <w:sz w:val="28"/>
          <w:szCs w:val="28"/>
        </w:rPr>
        <w:t>（十）负责城陵矶新港区食品安全监督管理。建立覆盖食品生产、流通、消费全过程的监督检查制度和隐患排查治理机制并组织实施，防范区域性、系统性食品安全风险。推动建立食品生产经营者落实主体责任机制，健全食品安全追溯体系。组织开展食品安全监督抽检、风险监测、核查处置和风险预警、风险交流工作。组织开展特殊食品监督管理。负责食盐专营管理和食盐安全监督管理。</w:t>
      </w:r>
    </w:p>
    <w:p>
      <w:pPr>
        <w:ind w:firstLine="560" w:firstLineChars="200"/>
        <w:jc w:val="left"/>
        <w:rPr>
          <w:rFonts w:ascii="仿宋_GB2312" w:eastAsia="仿宋_GB2312" w:cs="仿宋_GB2312"/>
          <w:color w:val="auto"/>
          <w:kern w:val="0"/>
          <w:sz w:val="28"/>
          <w:szCs w:val="28"/>
        </w:rPr>
      </w:pPr>
      <w:r>
        <w:rPr>
          <w:rFonts w:hint="eastAsia" w:ascii="仿宋_GB2312" w:hAnsi="仿宋_GB2312" w:cs="仿宋_GB2312"/>
          <w:color w:val="auto"/>
          <w:kern w:val="0"/>
          <w:sz w:val="28"/>
          <w:szCs w:val="28"/>
        </w:rPr>
        <w:t>（十一）负责统一管理计量工作。推行国家法定计量单位，执行国家计量制度，依职权管理计量器具及量值传递和比对工作。规范、监督商品量和市场计量行为。</w:t>
      </w:r>
    </w:p>
    <w:p>
      <w:pPr>
        <w:ind w:firstLine="560" w:firstLineChars="200"/>
        <w:jc w:val="left"/>
        <w:rPr>
          <w:rFonts w:ascii="仿宋_GB2312" w:eastAsia="仿宋_GB2312" w:cs="仿宋_GB2312"/>
          <w:color w:val="auto"/>
          <w:kern w:val="0"/>
          <w:sz w:val="28"/>
          <w:szCs w:val="28"/>
        </w:rPr>
      </w:pPr>
      <w:r>
        <w:rPr>
          <w:rFonts w:hint="eastAsia" w:ascii="仿宋_GB2312" w:hAnsi="仿宋_GB2312" w:cs="仿宋_GB2312"/>
          <w:color w:val="auto"/>
          <w:kern w:val="0"/>
          <w:sz w:val="28"/>
          <w:szCs w:val="28"/>
        </w:rPr>
        <w:t>（十二）负责统一管理标准化工作。组织实施标准化法律、法规，推进本行政区域内标准化战略的实施；依法开展标准化试点示范工作；管理城陵矶新港区商品条码工作；依据法定职责，对标准的制定进行指导监督，对标准的实施进行监督检查。推行采用国际标准。</w:t>
      </w:r>
    </w:p>
    <w:p>
      <w:pPr>
        <w:ind w:firstLine="560" w:firstLineChars="200"/>
        <w:jc w:val="left"/>
        <w:rPr>
          <w:rFonts w:ascii="仿宋_GB2312" w:eastAsia="仿宋_GB2312" w:cs="仿宋_GB2312"/>
          <w:color w:val="auto"/>
          <w:kern w:val="0"/>
          <w:sz w:val="28"/>
          <w:szCs w:val="28"/>
        </w:rPr>
      </w:pPr>
      <w:r>
        <w:rPr>
          <w:rFonts w:hint="eastAsia" w:ascii="仿宋_GB2312" w:hAnsi="仿宋_GB2312" w:cs="仿宋_GB2312"/>
          <w:color w:val="auto"/>
          <w:kern w:val="0"/>
          <w:sz w:val="28"/>
          <w:szCs w:val="28"/>
        </w:rPr>
        <w:t>（十三）负责检验检测工作。依权限配合上级机关开展检验检测工作。</w:t>
      </w:r>
    </w:p>
    <w:p>
      <w:pPr>
        <w:ind w:firstLine="560" w:firstLineChars="200"/>
        <w:jc w:val="left"/>
        <w:rPr>
          <w:rFonts w:ascii="仿宋_GB2312" w:eastAsia="仿宋_GB2312" w:cs="仿宋_GB2312"/>
          <w:color w:val="auto"/>
          <w:kern w:val="0"/>
          <w:sz w:val="28"/>
          <w:szCs w:val="28"/>
        </w:rPr>
      </w:pPr>
      <w:r>
        <w:rPr>
          <w:rFonts w:hint="eastAsia" w:ascii="仿宋_GB2312" w:hAnsi="仿宋_GB2312" w:cs="仿宋_GB2312"/>
          <w:color w:val="auto"/>
          <w:kern w:val="0"/>
          <w:sz w:val="28"/>
          <w:szCs w:val="28"/>
        </w:rPr>
        <w:t>（十四）负责统一管理、监督和综合协调认证认可工作。依法监督管理城陵矶新港区认证认可和合格评定有关活动。</w:t>
      </w:r>
    </w:p>
    <w:p>
      <w:pPr>
        <w:ind w:firstLine="560" w:firstLineChars="200"/>
        <w:jc w:val="left"/>
        <w:rPr>
          <w:rFonts w:ascii="仿宋_GB2312" w:eastAsia="仿宋_GB2312" w:cs="仿宋_GB2312"/>
          <w:color w:val="auto"/>
          <w:kern w:val="0"/>
          <w:sz w:val="28"/>
          <w:szCs w:val="28"/>
        </w:rPr>
      </w:pPr>
      <w:r>
        <w:rPr>
          <w:rFonts w:hint="eastAsia" w:ascii="仿宋_GB2312" w:hAnsi="仿宋_GB2312" w:cs="仿宋_GB2312"/>
          <w:color w:val="auto"/>
          <w:kern w:val="0"/>
          <w:sz w:val="28"/>
          <w:szCs w:val="28"/>
        </w:rPr>
        <w:t>（十五）负责市场监督管理、知识产权领域科技和信息化建设、新闻宣传、对外交流与合作。按规定承担技术性贸易措施有关工作。</w:t>
      </w:r>
    </w:p>
    <w:p>
      <w:pPr>
        <w:ind w:firstLine="560" w:firstLineChars="200"/>
        <w:jc w:val="left"/>
        <w:rPr>
          <w:rFonts w:ascii="仿宋_GB2312" w:eastAsia="仿宋_GB2312" w:cs="仿宋_GB2312"/>
          <w:color w:val="auto"/>
          <w:kern w:val="0"/>
          <w:sz w:val="28"/>
          <w:szCs w:val="28"/>
        </w:rPr>
      </w:pPr>
      <w:r>
        <w:rPr>
          <w:rFonts w:hint="eastAsia" w:ascii="仿宋_GB2312" w:hAnsi="仿宋_GB2312" w:cs="仿宋_GB2312"/>
          <w:color w:val="auto"/>
          <w:kern w:val="0"/>
          <w:sz w:val="28"/>
          <w:szCs w:val="28"/>
        </w:rPr>
        <w:t>（十六）负责实施知识产权战略，推进知识产权强区建设。制定强化知识产权创造、保护、运用的管理措施并组织实施。建设知识产权公共服务体系，推动知识产权信息传播利用，建设知识产权人才队伍。</w:t>
      </w:r>
    </w:p>
    <w:p>
      <w:pPr>
        <w:ind w:firstLine="560" w:firstLineChars="200"/>
        <w:jc w:val="left"/>
        <w:rPr>
          <w:rFonts w:ascii="仿宋_GB2312" w:eastAsia="仿宋_GB2312" w:cs="仿宋_GB2312"/>
          <w:color w:val="auto"/>
          <w:kern w:val="0"/>
          <w:sz w:val="28"/>
          <w:szCs w:val="28"/>
        </w:rPr>
      </w:pPr>
      <w:r>
        <w:rPr>
          <w:rFonts w:hint="eastAsia" w:ascii="仿宋_GB2312" w:hAnsi="仿宋_GB2312" w:cs="仿宋_GB2312"/>
          <w:color w:val="auto"/>
          <w:kern w:val="0"/>
          <w:sz w:val="28"/>
          <w:szCs w:val="28"/>
        </w:rPr>
        <w:t>（十七）负责保护知识产权。落实严格保护专利、商标、原产地地理标志等相关工作，建设知识产权保护体系、指导监督商标、专利及原产地地理标志执法。</w:t>
      </w:r>
    </w:p>
    <w:p>
      <w:pPr>
        <w:ind w:firstLine="560" w:firstLineChars="200"/>
        <w:jc w:val="left"/>
        <w:rPr>
          <w:rFonts w:ascii="仿宋_GB2312" w:eastAsia="仿宋_GB2312" w:cs="仿宋_GB2312"/>
          <w:color w:val="auto"/>
          <w:kern w:val="0"/>
          <w:sz w:val="28"/>
          <w:szCs w:val="28"/>
        </w:rPr>
      </w:pPr>
      <w:r>
        <w:rPr>
          <w:rFonts w:hint="eastAsia" w:ascii="仿宋_GB2312" w:hAnsi="仿宋_GB2312" w:cs="仿宋_GB2312"/>
          <w:color w:val="auto"/>
          <w:kern w:val="0"/>
          <w:sz w:val="28"/>
          <w:szCs w:val="28"/>
        </w:rPr>
        <w:t>（十八）负责知识产权创造运用。开展知识产权运营体系建设，指导重大经济活动知识产权评议，规范知识产权交易和无形资产评估，促进知识产权转移转化，推动知识产权高质量发展。</w:t>
      </w:r>
    </w:p>
    <w:p>
      <w:pPr>
        <w:ind w:firstLine="560" w:firstLineChars="200"/>
        <w:jc w:val="left"/>
        <w:rPr>
          <w:rFonts w:ascii="仿宋_GB2312" w:eastAsia="仿宋_GB2312" w:cs="仿宋_GB2312"/>
          <w:color w:val="auto"/>
          <w:kern w:val="0"/>
          <w:sz w:val="28"/>
          <w:szCs w:val="28"/>
        </w:rPr>
      </w:pPr>
      <w:r>
        <w:rPr>
          <w:rFonts w:hint="eastAsia" w:ascii="仿宋_GB2312" w:hAnsi="仿宋_GB2312" w:cs="仿宋_GB2312"/>
          <w:color w:val="auto"/>
          <w:kern w:val="0"/>
          <w:sz w:val="28"/>
          <w:szCs w:val="28"/>
        </w:rPr>
        <w:t>（十九）负责组织开展有关商品和服务领域消费维权工作，查处假冒伪劣等违法行为，指导消费者咨询、投诉、举报受理、处理等工作，保护经营者、消费者合法权益。指导消费者权益保护组织开展消费维权工作。</w:t>
      </w:r>
    </w:p>
    <w:p>
      <w:pPr>
        <w:ind w:firstLine="560" w:firstLineChars="200"/>
        <w:jc w:val="left"/>
        <w:rPr>
          <w:rFonts w:ascii="仿宋_GB2312" w:eastAsia="仿宋_GB2312" w:cs="仿宋_GB2312"/>
          <w:color w:val="auto"/>
          <w:kern w:val="0"/>
          <w:sz w:val="28"/>
          <w:szCs w:val="28"/>
        </w:rPr>
      </w:pPr>
      <w:r>
        <w:rPr>
          <w:rFonts w:hint="eastAsia" w:ascii="仿宋_GB2312" w:hAnsi="仿宋_GB2312" w:cs="仿宋_GB2312"/>
          <w:color w:val="auto"/>
          <w:kern w:val="0"/>
          <w:sz w:val="28"/>
          <w:szCs w:val="28"/>
        </w:rPr>
        <w:t>（二十）负责药品（含中药、民族药，下同）、医疗器械和化妆品安全监督管理。贯彻执行国家、省关于药品、医疗器械、化妆品安全监督管理的法律、法规和规章。</w:t>
      </w:r>
    </w:p>
    <w:p>
      <w:pPr>
        <w:ind w:firstLine="560" w:firstLineChars="200"/>
        <w:jc w:val="left"/>
        <w:rPr>
          <w:rFonts w:ascii="仿宋_GB2312" w:eastAsia="仿宋_GB2312" w:cs="仿宋_GB2312"/>
          <w:color w:val="auto"/>
          <w:kern w:val="0"/>
          <w:sz w:val="28"/>
          <w:szCs w:val="28"/>
        </w:rPr>
      </w:pPr>
      <w:r>
        <w:rPr>
          <w:rFonts w:hint="eastAsia" w:ascii="仿宋_GB2312" w:hAnsi="仿宋_GB2312" w:cs="仿宋_GB2312"/>
          <w:color w:val="auto"/>
          <w:kern w:val="0"/>
          <w:sz w:val="28"/>
          <w:szCs w:val="28"/>
        </w:rPr>
        <w:t>（二十一）监督实施药品、医疗器械、化妆品标准和分类管理制度，配合有关部门实施国家基本药物制度。</w:t>
      </w:r>
    </w:p>
    <w:p>
      <w:pPr>
        <w:ind w:firstLine="560" w:firstLineChars="200"/>
        <w:jc w:val="left"/>
        <w:rPr>
          <w:rFonts w:ascii="仿宋_GB2312" w:eastAsia="仿宋_GB2312" w:cs="仿宋_GB2312"/>
          <w:color w:val="auto"/>
          <w:kern w:val="0"/>
          <w:sz w:val="28"/>
          <w:szCs w:val="28"/>
        </w:rPr>
      </w:pPr>
      <w:r>
        <w:rPr>
          <w:rFonts w:hint="eastAsia" w:ascii="仿宋_GB2312" w:hAnsi="仿宋_GB2312" w:cs="仿宋_GB2312"/>
          <w:color w:val="auto"/>
          <w:kern w:val="0"/>
          <w:sz w:val="28"/>
          <w:szCs w:val="28"/>
        </w:rPr>
        <w:t>（二十二）负责权限范围内药品、医疗器械和化妆品质量管理。监督实施药品、医疗器械经营质量管理规范，监督实施化妆品经营、使用卫生标准和技术规范。</w:t>
      </w:r>
    </w:p>
    <w:p>
      <w:pPr>
        <w:ind w:firstLine="560" w:firstLineChars="200"/>
        <w:jc w:val="left"/>
        <w:rPr>
          <w:rFonts w:ascii="仿宋_GB2312" w:eastAsia="仿宋_GB2312" w:cs="仿宋_GB2312"/>
          <w:color w:val="auto"/>
          <w:kern w:val="0"/>
          <w:sz w:val="28"/>
          <w:szCs w:val="28"/>
        </w:rPr>
      </w:pPr>
      <w:r>
        <w:rPr>
          <w:rFonts w:hint="eastAsia" w:ascii="仿宋_GB2312" w:hAnsi="仿宋_GB2312" w:cs="仿宋_GB2312"/>
          <w:color w:val="auto"/>
          <w:kern w:val="0"/>
          <w:sz w:val="28"/>
          <w:szCs w:val="28"/>
        </w:rPr>
        <w:t>（二十三）负责权限范围内药品、医疗器械和化妆品上市后风险管理。依委托组织开展药品不良反应、医疗器械不良事件和化妆品不良反应的监测、评价和处置工作。依法承担药品、医疗器械和化妆品安全应急管理工作。</w:t>
      </w:r>
    </w:p>
    <w:p>
      <w:pPr>
        <w:ind w:firstLine="560" w:firstLineChars="200"/>
        <w:jc w:val="left"/>
        <w:rPr>
          <w:rFonts w:ascii="仿宋_GB2312" w:eastAsia="仿宋_GB2312" w:cs="仿宋_GB2312"/>
          <w:color w:val="auto"/>
          <w:kern w:val="0"/>
          <w:sz w:val="28"/>
          <w:szCs w:val="28"/>
        </w:rPr>
      </w:pPr>
      <w:r>
        <w:rPr>
          <w:rFonts w:hint="eastAsia" w:ascii="仿宋_GB2312" w:hAnsi="仿宋_GB2312" w:cs="仿宋_GB2312"/>
          <w:color w:val="auto"/>
          <w:kern w:val="0"/>
          <w:sz w:val="28"/>
          <w:szCs w:val="28"/>
        </w:rPr>
        <w:t>（二十四）负责组织实施药品、医疗器械和化妆品监督检查。制定检查制度，依法查处药品、医疗器械和化妆品经营、使用环节违法行为，监督实施问题产品召回和处置制度，依职责组织指导查处其他环节的违法行为。</w:t>
      </w:r>
    </w:p>
    <w:p>
      <w:pPr>
        <w:ind w:firstLine="560" w:firstLineChars="200"/>
        <w:jc w:val="left"/>
        <w:rPr>
          <w:rFonts w:ascii="仿宋_GB2312" w:eastAsia="仿宋_GB2312" w:cs="仿宋_GB2312"/>
          <w:color w:val="auto"/>
          <w:kern w:val="0"/>
          <w:sz w:val="28"/>
          <w:szCs w:val="28"/>
        </w:rPr>
      </w:pPr>
      <w:r>
        <w:rPr>
          <w:rFonts w:hint="eastAsia" w:ascii="仿宋_GB2312" w:hAnsi="仿宋_GB2312" w:cs="仿宋_GB2312"/>
          <w:color w:val="auto"/>
          <w:kern w:val="0"/>
          <w:sz w:val="28"/>
          <w:szCs w:val="28"/>
        </w:rPr>
        <w:t>（二十五）完成上级部门和区政府（管委会）交办的其他任务。</w:t>
      </w:r>
    </w:p>
    <w:p>
      <w:pPr>
        <w:widowControl/>
        <w:spacing w:line="600" w:lineRule="exact"/>
        <w:ind w:firstLine="840" w:firstLineChars="300"/>
        <w:rPr>
          <w:rFonts w:ascii="黑体" w:hAnsi="黑体" w:eastAsia="黑体"/>
          <w:bCs/>
          <w:color w:val="auto"/>
          <w:kern w:val="0"/>
          <w:sz w:val="28"/>
          <w:szCs w:val="28"/>
        </w:rPr>
      </w:pPr>
      <w:r>
        <w:rPr>
          <w:rFonts w:hint="eastAsia" w:ascii="黑体" w:hAnsi="黑体" w:eastAsia="黑体"/>
          <w:bCs/>
          <w:color w:val="auto"/>
          <w:kern w:val="0"/>
          <w:sz w:val="28"/>
          <w:szCs w:val="28"/>
        </w:rPr>
        <w:t>二、机构设置及决算单位构成</w:t>
      </w:r>
    </w:p>
    <w:p>
      <w:pPr>
        <w:widowControl/>
        <w:spacing w:line="600" w:lineRule="exact"/>
        <w:ind w:firstLine="640" w:firstLineChars="200"/>
        <w:rPr>
          <w:rFonts w:ascii="宋体"/>
          <w:bCs/>
          <w:color w:val="auto"/>
          <w:kern w:val="0"/>
          <w:sz w:val="32"/>
          <w:szCs w:val="32"/>
        </w:rPr>
      </w:pPr>
      <w:r>
        <w:rPr>
          <w:rFonts w:hint="eastAsia" w:ascii="宋体" w:hAnsi="宋体"/>
          <w:bCs/>
          <w:color w:val="auto"/>
          <w:kern w:val="0"/>
          <w:sz w:val="32"/>
          <w:szCs w:val="32"/>
        </w:rPr>
        <w:t>（一）</w:t>
      </w:r>
      <w:r>
        <w:rPr>
          <w:rFonts w:hint="eastAsia" w:ascii="仿宋_GB2312" w:hAnsi="仿宋_GB2312" w:cs="仿宋_GB2312"/>
          <w:color w:val="auto"/>
          <w:kern w:val="0"/>
          <w:sz w:val="28"/>
          <w:szCs w:val="28"/>
          <w:lang w:val="zh-CN"/>
        </w:rPr>
        <w:t>内设机构设置</w:t>
      </w:r>
      <w:r>
        <w:rPr>
          <w:rFonts w:hint="eastAsia" w:ascii="宋体" w:hAnsi="宋体"/>
          <w:bCs/>
          <w:color w:val="auto"/>
          <w:kern w:val="0"/>
          <w:sz w:val="32"/>
          <w:szCs w:val="32"/>
        </w:rPr>
        <w:t>。</w:t>
      </w:r>
    </w:p>
    <w:p>
      <w:pPr>
        <w:ind w:firstLine="840" w:firstLineChars="300"/>
        <w:jc w:val="left"/>
        <w:rPr>
          <w:rFonts w:ascii="仿宋_GB2312" w:eastAsia="仿宋_GB2312" w:cs="仿宋_GB2312"/>
          <w:color w:val="auto"/>
          <w:kern w:val="0"/>
          <w:sz w:val="28"/>
          <w:szCs w:val="28"/>
          <w:lang w:val="zh-CN"/>
        </w:rPr>
      </w:pPr>
      <w:r>
        <w:rPr>
          <w:rFonts w:hint="eastAsia" w:ascii="仿宋_GB2312" w:hAnsi="仿宋_GB2312" w:cs="仿宋_GB2312"/>
          <w:color w:val="auto"/>
          <w:kern w:val="0"/>
          <w:sz w:val="28"/>
          <w:szCs w:val="28"/>
          <w:lang w:val="zh-CN"/>
        </w:rPr>
        <w:t>根据市委编办核定，我局设置内设</w:t>
      </w:r>
      <w:r>
        <w:rPr>
          <w:rFonts w:hint="eastAsia" w:ascii="仿宋_GB2312" w:hAnsi="仿宋_GB2312" w:cs="仿宋_GB2312"/>
          <w:color w:val="auto"/>
          <w:kern w:val="0"/>
          <w:sz w:val="28"/>
          <w:szCs w:val="28"/>
        </w:rPr>
        <w:t>科室</w:t>
      </w:r>
      <w:r>
        <w:rPr>
          <w:rFonts w:ascii="仿宋_GB2312" w:hAnsi="仿宋_GB2312" w:cs="仿宋_GB2312"/>
          <w:color w:val="auto"/>
          <w:kern w:val="0"/>
          <w:sz w:val="28"/>
          <w:szCs w:val="28"/>
          <w:lang w:val="zh-CN"/>
        </w:rPr>
        <w:t>3</w:t>
      </w:r>
      <w:r>
        <w:rPr>
          <w:rFonts w:hint="eastAsia" w:ascii="仿宋_GB2312" w:hAnsi="仿宋_GB2312" w:cs="仿宋_GB2312"/>
          <w:color w:val="auto"/>
          <w:kern w:val="0"/>
          <w:sz w:val="28"/>
          <w:szCs w:val="28"/>
          <w:lang w:val="zh-CN"/>
        </w:rPr>
        <w:t>个，副科级市场监管所</w:t>
      </w:r>
      <w:r>
        <w:rPr>
          <w:rFonts w:ascii="仿宋_GB2312" w:hAnsi="仿宋_GB2312" w:cs="仿宋_GB2312"/>
          <w:color w:val="auto"/>
          <w:kern w:val="0"/>
          <w:sz w:val="28"/>
          <w:szCs w:val="28"/>
          <w:lang w:val="zh-CN"/>
        </w:rPr>
        <w:t>1</w:t>
      </w:r>
      <w:r>
        <w:rPr>
          <w:rFonts w:hint="eastAsia" w:ascii="仿宋_GB2312" w:hAnsi="仿宋_GB2312" w:cs="仿宋_GB2312"/>
          <w:color w:val="auto"/>
          <w:kern w:val="0"/>
          <w:sz w:val="28"/>
          <w:szCs w:val="28"/>
          <w:lang w:val="zh-CN"/>
        </w:rPr>
        <w:t>个。内设科室分别是行政综合办公室、登记注册和信息化股（非公党建办公室）、综合业务股。</w:t>
      </w:r>
    </w:p>
    <w:p>
      <w:pPr>
        <w:ind w:firstLine="840" w:firstLineChars="300"/>
        <w:jc w:val="left"/>
        <w:rPr>
          <w:rFonts w:ascii="仿宋_GB2312" w:hAnsi="Times New Roman" w:eastAsia="仿宋_GB2312"/>
          <w:color w:val="auto"/>
          <w:sz w:val="32"/>
          <w:szCs w:val="24"/>
          <w:lang w:val="zh-CN"/>
        </w:rPr>
      </w:pPr>
      <w:r>
        <w:rPr>
          <w:rFonts w:hint="eastAsia" w:ascii="仿宋_GB2312" w:hAnsi="仿宋_GB2312" w:cs="仿宋_GB2312"/>
          <w:color w:val="auto"/>
          <w:kern w:val="0"/>
          <w:sz w:val="28"/>
          <w:szCs w:val="28"/>
          <w:lang w:val="zh-CN"/>
        </w:rPr>
        <w:t>副科级市场监管所是新港市场监管所。</w:t>
      </w:r>
    </w:p>
    <w:p>
      <w:pPr>
        <w:widowControl/>
        <w:numPr>
          <w:ilvl w:val="0"/>
          <w:numId w:val="1"/>
        </w:numPr>
        <w:spacing w:line="600" w:lineRule="exact"/>
        <w:ind w:firstLine="560" w:firstLineChars="200"/>
        <w:rPr>
          <w:rFonts w:ascii="宋体"/>
          <w:bCs/>
          <w:color w:val="auto"/>
          <w:kern w:val="0"/>
          <w:sz w:val="28"/>
          <w:szCs w:val="28"/>
        </w:rPr>
      </w:pPr>
      <w:r>
        <w:rPr>
          <w:rFonts w:hint="eastAsia" w:ascii="宋体" w:hAnsi="宋体"/>
          <w:bCs/>
          <w:color w:val="auto"/>
          <w:kern w:val="0"/>
          <w:sz w:val="28"/>
          <w:szCs w:val="28"/>
        </w:rPr>
        <w:t>决算单位构成。</w:t>
      </w:r>
    </w:p>
    <w:p>
      <w:pPr>
        <w:ind w:firstLine="840" w:firstLineChars="300"/>
        <w:jc w:val="left"/>
        <w:rPr>
          <w:rFonts w:ascii="仿宋_GB2312" w:eastAsia="仿宋_GB2312" w:cs="仿宋_GB2312"/>
          <w:color w:val="auto"/>
          <w:kern w:val="0"/>
          <w:sz w:val="28"/>
          <w:szCs w:val="28"/>
          <w:lang w:val="zh-CN"/>
        </w:rPr>
      </w:pPr>
      <w:r>
        <w:rPr>
          <w:rFonts w:ascii="仿宋_GB2312" w:hAnsi="仿宋_GB2312" w:cs="仿宋_GB2312"/>
          <w:color w:val="auto"/>
          <w:kern w:val="0"/>
          <w:sz w:val="28"/>
          <w:szCs w:val="28"/>
          <w:lang w:val="zh-CN"/>
        </w:rPr>
        <w:t>2020</w:t>
      </w:r>
      <w:r>
        <w:rPr>
          <w:rFonts w:hint="eastAsia" w:ascii="仿宋_GB2312" w:hAnsi="仿宋_GB2312" w:cs="仿宋_GB2312"/>
          <w:color w:val="auto"/>
          <w:kern w:val="0"/>
          <w:sz w:val="28"/>
          <w:szCs w:val="28"/>
          <w:lang w:val="zh-CN"/>
        </w:rPr>
        <w:t>年部门决算汇总公开单位构成</w:t>
      </w:r>
      <w:r>
        <w:rPr>
          <w:rFonts w:hint="eastAsia" w:ascii="仿宋_GB2312" w:hAnsi="仿宋_GB2312" w:cs="仿宋_GB2312"/>
          <w:color w:val="auto"/>
          <w:kern w:val="0"/>
          <w:sz w:val="28"/>
          <w:szCs w:val="28"/>
        </w:rPr>
        <w:t>为岳阳市市场监督管理局城陵矶新港区分局</w:t>
      </w:r>
      <w:r>
        <w:rPr>
          <w:rFonts w:hint="eastAsia" w:ascii="仿宋_GB2312" w:hAnsi="仿宋_GB2312" w:cs="仿宋_GB2312"/>
          <w:color w:val="auto"/>
          <w:kern w:val="0"/>
          <w:sz w:val="28"/>
          <w:szCs w:val="28"/>
          <w:lang w:val="zh-CN"/>
        </w:rPr>
        <w:t>本级，</w:t>
      </w:r>
      <w:r>
        <w:rPr>
          <w:rFonts w:hint="eastAsia" w:ascii="仿宋_GB2312" w:hAnsi="Times New Roman" w:eastAsia="仿宋_GB2312"/>
          <w:color w:val="auto"/>
          <w:sz w:val="32"/>
          <w:szCs w:val="24"/>
          <w:lang w:val="zh-CN"/>
        </w:rPr>
        <w:t>无</w:t>
      </w:r>
      <w:r>
        <w:rPr>
          <w:rFonts w:hint="eastAsia" w:ascii="仿宋_GB2312" w:hAnsi="Times New Roman" w:eastAsia="仿宋_GB2312"/>
          <w:color w:val="auto"/>
          <w:sz w:val="32"/>
          <w:szCs w:val="24"/>
        </w:rPr>
        <w:t>单独核算</w:t>
      </w:r>
      <w:r>
        <w:rPr>
          <w:rFonts w:hint="eastAsia" w:ascii="仿宋_GB2312" w:hAnsi="Times New Roman" w:eastAsia="仿宋_GB2312"/>
          <w:color w:val="auto"/>
          <w:sz w:val="32"/>
          <w:szCs w:val="24"/>
          <w:lang w:val="zh-CN"/>
        </w:rPr>
        <w:t>下属单位或机构</w:t>
      </w:r>
      <w:r>
        <w:rPr>
          <w:rFonts w:hint="eastAsia" w:ascii="仿宋_GB2312" w:hAnsi="仿宋_GB2312" w:cs="仿宋_GB2312"/>
          <w:color w:val="auto"/>
          <w:kern w:val="0"/>
          <w:sz w:val="28"/>
          <w:szCs w:val="28"/>
          <w:lang w:val="zh-CN"/>
        </w:rPr>
        <w:t>。</w:t>
      </w:r>
    </w:p>
    <w:p>
      <w:pPr>
        <w:ind w:firstLine="840" w:firstLineChars="300"/>
        <w:jc w:val="left"/>
        <w:rPr>
          <w:rFonts w:ascii="仿宋_GB2312" w:eastAsia="仿宋_GB2312" w:cs="仿宋_GB2312"/>
          <w:color w:val="auto"/>
          <w:kern w:val="0"/>
          <w:sz w:val="28"/>
          <w:szCs w:val="28"/>
          <w:lang w:val="zh-CN"/>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rPr>
          <w:color w:val="auto"/>
          <w:sz w:val="72"/>
          <w:szCs w:val="72"/>
        </w:rPr>
      </w:pPr>
    </w:p>
    <w:p>
      <w:pPr>
        <w:rPr>
          <w:color w:val="auto"/>
          <w:sz w:val="72"/>
          <w:szCs w:val="72"/>
        </w:rPr>
      </w:pPr>
    </w:p>
    <w:p>
      <w:pPr>
        <w:rPr>
          <w:color w:val="auto"/>
          <w:sz w:val="72"/>
          <w:szCs w:val="72"/>
        </w:rPr>
      </w:pPr>
    </w:p>
    <w:p>
      <w:pPr>
        <w:rPr>
          <w:color w:val="auto"/>
          <w:sz w:val="72"/>
          <w:szCs w:val="72"/>
        </w:rPr>
      </w:pPr>
    </w:p>
    <w:p>
      <w:pPr>
        <w:rPr>
          <w:color w:val="auto"/>
          <w:sz w:val="72"/>
          <w:szCs w:val="72"/>
        </w:rPr>
      </w:pPr>
    </w:p>
    <w:p>
      <w:pPr>
        <w:rPr>
          <w:color w:val="auto"/>
          <w:sz w:val="72"/>
          <w:szCs w:val="72"/>
        </w:rPr>
      </w:pPr>
    </w:p>
    <w:p>
      <w:pPr>
        <w:jc w:val="center"/>
        <w:rPr>
          <w:rFonts w:ascii="黑体" w:hAnsi="黑体" w:eastAsia="黑体" w:cs="黑体"/>
          <w:color w:val="auto"/>
          <w:sz w:val="44"/>
          <w:szCs w:val="44"/>
        </w:rPr>
      </w:pPr>
      <w:r>
        <w:rPr>
          <w:rFonts w:hint="eastAsia" w:ascii="黑体" w:hAnsi="黑体" w:eastAsia="黑体" w:cs="黑体"/>
          <w:color w:val="auto"/>
          <w:sz w:val="44"/>
          <w:szCs w:val="44"/>
        </w:rPr>
        <w:t>第二部分</w:t>
      </w:r>
    </w:p>
    <w:p>
      <w:pPr>
        <w:jc w:val="center"/>
        <w:rPr>
          <w:rFonts w:ascii="黑体" w:hAnsi="黑体" w:eastAsia="黑体" w:cs="黑体"/>
          <w:color w:val="auto"/>
          <w:sz w:val="44"/>
          <w:szCs w:val="44"/>
        </w:rPr>
      </w:pPr>
    </w:p>
    <w:p>
      <w:pPr>
        <w:jc w:val="center"/>
        <w:rPr>
          <w:rFonts w:ascii="黑体" w:hAnsi="黑体" w:eastAsia="黑体" w:cs="黑体"/>
          <w:color w:val="auto"/>
          <w:sz w:val="44"/>
          <w:szCs w:val="44"/>
        </w:rPr>
      </w:pPr>
      <w:r>
        <w:rPr>
          <w:rFonts w:hint="eastAsia" w:ascii="黑体" w:hAnsi="黑体" w:eastAsia="黑体" w:cs="黑体"/>
          <w:color w:val="auto"/>
          <w:sz w:val="44"/>
          <w:szCs w:val="44"/>
        </w:rPr>
        <w:t>部门决算表</w:t>
      </w: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jc w:val="left"/>
        <w:rPr>
          <w:color w:val="auto"/>
          <w:sz w:val="32"/>
          <w:szCs w:val="32"/>
        </w:rPr>
      </w:pPr>
    </w:p>
    <w:p>
      <w:pPr>
        <w:jc w:val="left"/>
        <w:rPr>
          <w:rFonts w:ascii="宋体"/>
          <w:color w:val="auto"/>
          <w:sz w:val="32"/>
          <w:szCs w:val="32"/>
        </w:rPr>
        <w:sectPr>
          <w:pgSz w:w="11906" w:h="16838"/>
          <w:pgMar w:top="720" w:right="720" w:bottom="720" w:left="720" w:header="851" w:footer="992" w:gutter="0"/>
          <w:cols w:space="425" w:num="1"/>
          <w:docGrid w:type="lines" w:linePitch="312" w:charSpace="0"/>
        </w:sectPr>
      </w:pPr>
    </w:p>
    <w:tbl>
      <w:tblPr>
        <w:tblStyle w:val="7"/>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noWrap/>
            <w:vAlign w:val="center"/>
          </w:tcPr>
          <w:p>
            <w:pPr>
              <w:widowControl/>
              <w:jc w:val="center"/>
              <w:rPr>
                <w:rFonts w:ascii="华文中宋" w:hAnsi="华文中宋" w:eastAsia="华文中宋" w:cs="宋体"/>
                <w:color w:val="auto"/>
                <w:kern w:val="0"/>
                <w:sz w:val="32"/>
                <w:szCs w:val="32"/>
              </w:rPr>
            </w:pPr>
            <w:r>
              <w:rPr>
                <w:rFonts w:hint="eastAsia" w:ascii="华文中宋" w:hAnsi="华文中宋" w:eastAsia="华文中宋" w:cs="宋体"/>
                <w:color w:val="auto"/>
                <w:kern w:val="0"/>
                <w:sz w:val="32"/>
                <w:szCs w:val="32"/>
              </w:rPr>
              <w:t>收入支出决算总表</w:t>
            </w:r>
          </w:p>
        </w:tc>
      </w:tr>
      <w:tr>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cs="宋体"/>
                <w:color w:val="auto"/>
                <w:kern w:val="0"/>
                <w:sz w:val="24"/>
                <w:szCs w:val="24"/>
              </w:rPr>
            </w:pPr>
            <w:r>
              <w:rPr>
                <w:rFonts w:hint="eastAsia" w:ascii="宋体" w:hAnsi="宋体" w:cs="宋体"/>
                <w:color w:val="auto"/>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cs="宋体"/>
                <w:color w:val="auto"/>
                <w:kern w:val="0"/>
                <w:sz w:val="24"/>
                <w:szCs w:val="24"/>
              </w:rPr>
            </w:pPr>
            <w:r>
              <w:rPr>
                <w:rFonts w:hint="eastAsia" w:ascii="宋体" w:hAnsi="宋体" w:cs="宋体"/>
                <w:color w:val="auto"/>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cs="宋体"/>
                <w:color w:val="auto"/>
                <w:kern w:val="0"/>
                <w:sz w:val="24"/>
                <w:szCs w:val="24"/>
              </w:rPr>
            </w:pPr>
            <w:r>
              <w:rPr>
                <w:rFonts w:hint="eastAsia" w:ascii="宋体" w:hAnsi="宋体" w:cs="宋体"/>
                <w:color w:val="auto"/>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cs="宋体"/>
                <w:color w:val="auto"/>
                <w:kern w:val="0"/>
                <w:sz w:val="24"/>
                <w:szCs w:val="24"/>
              </w:rPr>
            </w:pPr>
            <w:r>
              <w:rPr>
                <w:rFonts w:hint="eastAsia" w:ascii="宋体" w:hAnsi="宋体" w:cs="宋体"/>
                <w:color w:val="auto"/>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cs="宋体"/>
                <w:color w:val="auto"/>
                <w:kern w:val="0"/>
                <w:sz w:val="24"/>
                <w:szCs w:val="24"/>
              </w:rPr>
            </w:pPr>
            <w:r>
              <w:rPr>
                <w:rFonts w:hint="eastAsia" w:ascii="宋体" w:hAnsi="宋体" w:cs="宋体"/>
                <w:color w:val="auto"/>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cs="宋体"/>
                <w:color w:val="auto"/>
                <w:kern w:val="0"/>
                <w:sz w:val="20"/>
                <w:szCs w:val="20"/>
              </w:rPr>
            </w:pPr>
            <w:r>
              <w:rPr>
                <w:rFonts w:hint="eastAsia" w:ascii="宋体" w:hAnsi="宋体" w:cs="宋体"/>
                <w:color w:val="auto"/>
                <w:kern w:val="0"/>
                <w:sz w:val="20"/>
                <w:szCs w:val="20"/>
              </w:rPr>
              <w:t>公开</w:t>
            </w:r>
            <w:r>
              <w:rPr>
                <w:rFonts w:ascii="宋体" w:hAnsi="宋体" w:cs="宋体"/>
                <w:color w:val="auto"/>
                <w:kern w:val="0"/>
                <w:sz w:val="20"/>
                <w:szCs w:val="20"/>
              </w:rPr>
              <w:t>01</w:t>
            </w:r>
            <w:r>
              <w:rPr>
                <w:rFonts w:hint="eastAsia" w:ascii="宋体" w:hAnsi="宋体" w:cs="宋体"/>
                <w:color w:val="auto"/>
                <w:kern w:val="0"/>
                <w:sz w:val="20"/>
                <w:szCs w:val="20"/>
              </w:rPr>
              <w:t>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cs="宋体"/>
                <w:color w:val="auto"/>
                <w:kern w:val="0"/>
                <w:sz w:val="20"/>
                <w:szCs w:val="20"/>
              </w:rPr>
            </w:pPr>
            <w:r>
              <w:rPr>
                <w:rFonts w:hint="eastAsia" w:ascii="宋体" w:hAnsi="宋体" w:cs="宋体"/>
                <w:color w:val="auto"/>
                <w:kern w:val="0"/>
                <w:sz w:val="20"/>
                <w:szCs w:val="20"/>
              </w:rPr>
              <w:t>部门：岳阳市市场监督管理局城陵矶新港区分局</w:t>
            </w:r>
          </w:p>
        </w:tc>
        <w:tc>
          <w:tcPr>
            <w:tcW w:w="697" w:type="dxa"/>
            <w:gridSpan w:val="2"/>
            <w:tcBorders>
              <w:top w:val="nil"/>
              <w:left w:val="nil"/>
              <w:bottom w:val="nil"/>
              <w:right w:val="nil"/>
            </w:tcBorders>
            <w:shd w:val="clear" w:color="000000" w:fill="FFFFFF"/>
            <w:noWrap/>
            <w:vAlign w:val="center"/>
          </w:tcPr>
          <w:p>
            <w:pPr>
              <w:widowControl/>
              <w:jc w:val="right"/>
              <w:rPr>
                <w:rFonts w:ascii="宋体" w:cs="宋体"/>
                <w:color w:val="auto"/>
                <w:kern w:val="0"/>
                <w:sz w:val="24"/>
                <w:szCs w:val="24"/>
              </w:rPr>
            </w:pPr>
            <w:r>
              <w:rPr>
                <w:rFonts w:hint="eastAsia" w:ascii="宋体" w:hAnsi="宋体" w:cs="宋体"/>
                <w:color w:val="auto"/>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cs="宋体"/>
                <w:color w:val="auto"/>
                <w:kern w:val="0"/>
                <w:sz w:val="24"/>
                <w:szCs w:val="24"/>
              </w:rPr>
            </w:pPr>
            <w:r>
              <w:rPr>
                <w:rFonts w:hint="eastAsia" w:ascii="宋体" w:hAnsi="宋体" w:cs="宋体"/>
                <w:color w:val="auto"/>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cs="宋体"/>
                <w:color w:val="auto"/>
                <w:kern w:val="0"/>
                <w:sz w:val="24"/>
                <w:szCs w:val="24"/>
              </w:rPr>
            </w:pPr>
            <w:r>
              <w:rPr>
                <w:rFonts w:hint="eastAsia" w:ascii="宋体" w:hAnsi="宋体" w:cs="宋体"/>
                <w:color w:val="auto"/>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cs="宋体"/>
                <w:color w:val="auto"/>
                <w:kern w:val="0"/>
                <w:sz w:val="24"/>
                <w:szCs w:val="24"/>
              </w:rPr>
            </w:pPr>
            <w:r>
              <w:rPr>
                <w:rFonts w:hint="eastAsia" w:ascii="宋体" w:hAnsi="宋体" w:cs="宋体"/>
                <w:color w:val="auto"/>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cs="宋体"/>
                <w:color w:val="auto"/>
                <w:kern w:val="0"/>
                <w:sz w:val="20"/>
                <w:szCs w:val="20"/>
              </w:rPr>
            </w:pPr>
            <w:r>
              <w:rPr>
                <w:rFonts w:hint="eastAsia" w:ascii="宋体" w:hAnsi="宋体" w:cs="宋体"/>
                <w:color w:val="auto"/>
                <w:kern w:val="0"/>
                <w:sz w:val="20"/>
                <w:szCs w:val="20"/>
              </w:rPr>
              <w:t>单位：万元</w:t>
            </w:r>
          </w:p>
        </w:tc>
      </w:tr>
      <w:tr>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项</w:t>
            </w:r>
            <w:r>
              <w:rPr>
                <w:rFonts w:ascii="宋体" w:hAnsi="宋体" w:cs="宋体"/>
                <w:color w:val="auto"/>
                <w:kern w:val="0"/>
                <w:sz w:val="24"/>
                <w:szCs w:val="24"/>
              </w:rPr>
              <w:t xml:space="preserve">    </w:t>
            </w:r>
            <w:r>
              <w:rPr>
                <w:rFonts w:hint="eastAsia" w:ascii="宋体" w:hAnsi="宋体" w:cs="宋体"/>
                <w:color w:val="auto"/>
                <w:kern w:val="0"/>
                <w:sz w:val="24"/>
                <w:szCs w:val="24"/>
              </w:rPr>
              <w:t>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0"/>
                <w:szCs w:val="20"/>
              </w:rPr>
            </w:pPr>
            <w:r>
              <w:rPr>
                <w:rFonts w:hint="eastAsia" w:ascii="宋体" w:hAnsi="宋体" w:cs="宋体"/>
                <w:color w:val="auto"/>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项</w:t>
            </w:r>
            <w:r>
              <w:rPr>
                <w:rFonts w:ascii="宋体" w:hAnsi="宋体" w:cs="宋体"/>
                <w:color w:val="auto"/>
                <w:kern w:val="0"/>
                <w:sz w:val="24"/>
                <w:szCs w:val="24"/>
              </w:rPr>
              <w:t xml:space="preserve">    </w:t>
            </w:r>
            <w:r>
              <w:rPr>
                <w:rFonts w:hint="eastAsia" w:ascii="宋体" w:hAnsi="宋体" w:cs="宋体"/>
                <w:color w:val="auto"/>
                <w:kern w:val="0"/>
                <w:sz w:val="24"/>
                <w:szCs w:val="24"/>
              </w:rPr>
              <w:t>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0"/>
                <w:szCs w:val="20"/>
              </w:rPr>
            </w:pPr>
            <w:r>
              <w:rPr>
                <w:rFonts w:hint="eastAsia" w:ascii="宋体" w:hAnsi="宋体" w:cs="宋体"/>
                <w:color w:val="auto"/>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决算数</w:t>
            </w:r>
          </w:p>
        </w:tc>
      </w:tr>
      <w:tr>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栏</w:t>
            </w:r>
            <w:r>
              <w:rPr>
                <w:rFonts w:ascii="宋体" w:hAnsi="宋体" w:cs="宋体"/>
                <w:color w:val="auto"/>
                <w:kern w:val="0"/>
                <w:sz w:val="24"/>
                <w:szCs w:val="24"/>
              </w:rPr>
              <w:t xml:space="preserve">    </w:t>
            </w:r>
            <w:r>
              <w:rPr>
                <w:rFonts w:hint="eastAsia" w:ascii="宋体" w:hAnsi="宋体" w:cs="宋体"/>
                <w:color w:val="auto"/>
                <w:kern w:val="0"/>
                <w:sz w:val="24"/>
                <w:szCs w:val="24"/>
              </w:rPr>
              <w:t>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4"/>
                <w:szCs w:val="24"/>
              </w:rPr>
            </w:pPr>
            <w:r>
              <w:rPr>
                <w:rFonts w:ascii="宋体" w:hAnsi="宋体" w:cs="宋体"/>
                <w:color w:val="auto"/>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栏</w:t>
            </w:r>
            <w:r>
              <w:rPr>
                <w:rFonts w:ascii="宋体" w:hAnsi="宋体" w:cs="宋体"/>
                <w:color w:val="auto"/>
                <w:kern w:val="0"/>
                <w:sz w:val="24"/>
                <w:szCs w:val="24"/>
              </w:rPr>
              <w:t xml:space="preserve">    </w:t>
            </w:r>
            <w:r>
              <w:rPr>
                <w:rFonts w:hint="eastAsia" w:ascii="宋体" w:hAnsi="宋体" w:cs="宋体"/>
                <w:color w:val="auto"/>
                <w:kern w:val="0"/>
                <w:sz w:val="24"/>
                <w:szCs w:val="24"/>
              </w:rPr>
              <w:t>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4"/>
                <w:szCs w:val="24"/>
              </w:rPr>
            </w:pPr>
            <w:r>
              <w:rPr>
                <w:rFonts w:ascii="宋体" w:hAnsi="宋体" w:cs="宋体"/>
                <w:color w:val="auto"/>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auto"/>
                <w:kern w:val="0"/>
                <w:sz w:val="22"/>
              </w:rPr>
            </w:pPr>
            <w:r>
              <w:rPr>
                <w:rFonts w:hint="eastAsia" w:ascii="宋体" w:hAnsi="宋体" w:cs="宋体"/>
                <w:color w:val="auto"/>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2"/>
              </w:rPr>
            </w:pPr>
            <w:r>
              <w:rPr>
                <w:rFonts w:ascii="宋体" w:hAnsi="宋体" w:cs="宋体"/>
                <w:color w:val="auto"/>
                <w:kern w:val="0"/>
                <w:sz w:val="22"/>
              </w:rPr>
              <w:t>1</w:t>
            </w:r>
          </w:p>
        </w:tc>
        <w:tc>
          <w:tcPr>
            <w:tcW w:w="1230" w:type="dxa"/>
            <w:gridSpan w:val="2"/>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265.70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cs="宋体"/>
                <w:color w:val="auto"/>
                <w:kern w:val="0"/>
                <w:sz w:val="22"/>
              </w:rPr>
            </w:pPr>
            <w:r>
              <w:rPr>
                <w:rFonts w:hint="eastAsia" w:ascii="宋体" w:hAnsi="宋体" w:cs="宋体"/>
                <w:color w:val="auto"/>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2"/>
              </w:rPr>
            </w:pPr>
            <w:r>
              <w:rPr>
                <w:rFonts w:ascii="宋体" w:hAnsi="宋体" w:cs="宋体"/>
                <w:color w:val="auto"/>
                <w:kern w:val="0"/>
                <w:sz w:val="22"/>
              </w:rPr>
              <w:t>14</w:t>
            </w:r>
          </w:p>
        </w:tc>
        <w:tc>
          <w:tcPr>
            <w:tcW w:w="3633" w:type="dxa"/>
            <w:gridSpan w:val="3"/>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199.72</w:t>
            </w:r>
          </w:p>
        </w:tc>
      </w:tr>
      <w:tr>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cs="宋体"/>
                <w:color w:val="auto"/>
                <w:kern w:val="0"/>
                <w:sz w:val="22"/>
              </w:rPr>
            </w:pPr>
            <w:r>
              <w:rPr>
                <w:rFonts w:hint="eastAsia" w:ascii="宋体" w:hAnsi="宋体" w:cs="宋体"/>
                <w:color w:val="auto"/>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2"/>
              </w:rPr>
            </w:pPr>
            <w:r>
              <w:rPr>
                <w:rFonts w:ascii="宋体" w:hAnsi="宋体" w:cs="宋体"/>
                <w:color w:val="auto"/>
                <w:kern w:val="0"/>
                <w:sz w:val="22"/>
              </w:rPr>
              <w:t>2</w:t>
            </w:r>
          </w:p>
        </w:tc>
        <w:tc>
          <w:tcPr>
            <w:tcW w:w="1230" w:type="dxa"/>
            <w:gridSpan w:val="2"/>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cs="宋体"/>
                <w:color w:val="auto"/>
                <w:kern w:val="0"/>
                <w:sz w:val="22"/>
              </w:rPr>
            </w:pPr>
            <w:r>
              <w:rPr>
                <w:rFonts w:hint="eastAsia" w:ascii="宋体" w:hAnsi="宋体" w:cs="宋体"/>
                <w:color w:val="auto"/>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2"/>
              </w:rPr>
            </w:pPr>
            <w:r>
              <w:rPr>
                <w:rFonts w:ascii="宋体" w:hAnsi="宋体" w:cs="宋体"/>
                <w:color w:val="auto"/>
                <w:kern w:val="0"/>
                <w:sz w:val="22"/>
              </w:rPr>
              <w:t>15</w:t>
            </w:r>
          </w:p>
        </w:tc>
        <w:tc>
          <w:tcPr>
            <w:tcW w:w="3633" w:type="dxa"/>
            <w:gridSpan w:val="3"/>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auto"/>
                <w:kern w:val="0"/>
                <w:sz w:val="22"/>
              </w:rPr>
            </w:pPr>
            <w:r>
              <w:rPr>
                <w:rFonts w:hint="eastAsia" w:ascii="宋体" w:hAnsi="宋体" w:cs="宋体"/>
                <w:color w:val="auto"/>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2"/>
              </w:rPr>
            </w:pPr>
            <w:r>
              <w:rPr>
                <w:rFonts w:ascii="宋体" w:hAnsi="宋体" w:cs="宋体"/>
                <w:color w:val="auto"/>
                <w:kern w:val="0"/>
                <w:sz w:val="22"/>
              </w:rPr>
              <w:t>3</w:t>
            </w:r>
          </w:p>
        </w:tc>
        <w:tc>
          <w:tcPr>
            <w:tcW w:w="1230" w:type="dxa"/>
            <w:gridSpan w:val="2"/>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cs="宋体"/>
                <w:color w:val="auto"/>
                <w:kern w:val="0"/>
                <w:sz w:val="22"/>
              </w:rPr>
            </w:pPr>
            <w:r>
              <w:rPr>
                <w:rFonts w:hint="eastAsia" w:ascii="宋体" w:hAnsi="宋体" w:cs="宋体"/>
                <w:color w:val="auto"/>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2"/>
              </w:rPr>
            </w:pPr>
            <w:r>
              <w:rPr>
                <w:rFonts w:ascii="宋体" w:hAnsi="宋体" w:cs="宋体"/>
                <w:color w:val="auto"/>
                <w:kern w:val="0"/>
                <w:sz w:val="22"/>
              </w:rPr>
              <w:t>16</w:t>
            </w:r>
          </w:p>
        </w:tc>
        <w:tc>
          <w:tcPr>
            <w:tcW w:w="3633" w:type="dxa"/>
            <w:gridSpan w:val="3"/>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r>
      <w:tr>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cs="宋体"/>
                <w:color w:val="auto"/>
                <w:kern w:val="0"/>
                <w:sz w:val="22"/>
              </w:rPr>
            </w:pPr>
            <w:r>
              <w:rPr>
                <w:rFonts w:hint="eastAsia" w:ascii="宋体" w:hAnsi="宋体" w:cs="宋体"/>
                <w:color w:val="auto"/>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2"/>
              </w:rPr>
            </w:pPr>
            <w:r>
              <w:rPr>
                <w:rFonts w:ascii="宋体" w:hAnsi="宋体" w:cs="宋体"/>
                <w:color w:val="auto"/>
                <w:kern w:val="0"/>
                <w:sz w:val="22"/>
              </w:rPr>
              <w:t>4</w:t>
            </w:r>
          </w:p>
        </w:tc>
        <w:tc>
          <w:tcPr>
            <w:tcW w:w="1230" w:type="dxa"/>
            <w:gridSpan w:val="2"/>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cs="宋体"/>
                <w:color w:val="auto"/>
                <w:kern w:val="0"/>
                <w:sz w:val="22"/>
              </w:rPr>
            </w:pPr>
            <w:r>
              <w:rPr>
                <w:rFonts w:hint="eastAsia" w:ascii="宋体" w:hAnsi="宋体" w:cs="宋体"/>
                <w:color w:val="auto"/>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2"/>
              </w:rPr>
            </w:pPr>
            <w:r>
              <w:rPr>
                <w:rFonts w:ascii="宋体" w:hAnsi="宋体" w:cs="宋体"/>
                <w:color w:val="auto"/>
                <w:kern w:val="0"/>
                <w:sz w:val="22"/>
              </w:rPr>
              <w:t>17</w:t>
            </w:r>
          </w:p>
        </w:tc>
        <w:tc>
          <w:tcPr>
            <w:tcW w:w="3633" w:type="dxa"/>
            <w:gridSpan w:val="3"/>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cs="宋体"/>
                <w:color w:val="auto"/>
                <w:kern w:val="0"/>
                <w:sz w:val="22"/>
              </w:rPr>
            </w:pPr>
            <w:r>
              <w:rPr>
                <w:rFonts w:hint="eastAsia" w:ascii="宋体" w:hAnsi="宋体" w:cs="宋体"/>
                <w:color w:val="auto"/>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2"/>
              </w:rPr>
            </w:pPr>
            <w:r>
              <w:rPr>
                <w:rFonts w:ascii="宋体" w:hAnsi="宋体" w:cs="宋体"/>
                <w:color w:val="auto"/>
                <w:kern w:val="0"/>
                <w:sz w:val="22"/>
              </w:rPr>
              <w:t>5</w:t>
            </w:r>
          </w:p>
        </w:tc>
        <w:tc>
          <w:tcPr>
            <w:tcW w:w="1230" w:type="dxa"/>
            <w:gridSpan w:val="2"/>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cs="宋体"/>
                <w:color w:val="auto"/>
                <w:kern w:val="0"/>
                <w:sz w:val="22"/>
              </w:rPr>
            </w:pPr>
            <w:r>
              <w:rPr>
                <w:rFonts w:hint="eastAsia" w:ascii="宋体" w:hAnsi="宋体" w:cs="宋体"/>
                <w:color w:val="auto"/>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2"/>
              </w:rPr>
            </w:pPr>
            <w:r>
              <w:rPr>
                <w:rFonts w:ascii="宋体" w:hAnsi="宋体" w:cs="宋体"/>
                <w:color w:val="auto"/>
                <w:kern w:val="0"/>
                <w:sz w:val="22"/>
              </w:rPr>
              <w:t>18</w:t>
            </w:r>
          </w:p>
        </w:tc>
        <w:tc>
          <w:tcPr>
            <w:tcW w:w="3633" w:type="dxa"/>
            <w:gridSpan w:val="3"/>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r>
      <w:tr>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cs="宋体"/>
                <w:color w:val="auto"/>
                <w:kern w:val="0"/>
                <w:sz w:val="22"/>
              </w:rPr>
            </w:pPr>
            <w:r>
              <w:rPr>
                <w:rFonts w:hint="eastAsia" w:ascii="宋体" w:hAnsi="宋体" w:cs="宋体"/>
                <w:color w:val="auto"/>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2"/>
              </w:rPr>
            </w:pPr>
            <w:r>
              <w:rPr>
                <w:rFonts w:ascii="宋体" w:hAnsi="宋体" w:cs="宋体"/>
                <w:color w:val="auto"/>
                <w:kern w:val="0"/>
                <w:sz w:val="22"/>
              </w:rPr>
              <w:t>6</w:t>
            </w:r>
          </w:p>
        </w:tc>
        <w:tc>
          <w:tcPr>
            <w:tcW w:w="1230" w:type="dxa"/>
            <w:gridSpan w:val="2"/>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cs="宋体"/>
                <w:color w:val="auto"/>
                <w:kern w:val="0"/>
                <w:sz w:val="22"/>
              </w:rPr>
            </w:pPr>
            <w:r>
              <w:rPr>
                <w:rFonts w:hint="eastAsia" w:ascii="宋体" w:hAnsi="宋体" w:cs="宋体"/>
                <w:color w:val="auto"/>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2"/>
              </w:rPr>
            </w:pPr>
            <w:r>
              <w:rPr>
                <w:rFonts w:ascii="宋体" w:hAnsi="宋体" w:cs="宋体"/>
                <w:color w:val="auto"/>
                <w:kern w:val="0"/>
                <w:sz w:val="22"/>
              </w:rPr>
              <w:t>19</w:t>
            </w:r>
          </w:p>
        </w:tc>
        <w:tc>
          <w:tcPr>
            <w:tcW w:w="3633" w:type="dxa"/>
            <w:gridSpan w:val="3"/>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cs="宋体"/>
                <w:color w:val="auto"/>
                <w:kern w:val="0"/>
                <w:sz w:val="22"/>
              </w:rPr>
            </w:pPr>
            <w:r>
              <w:rPr>
                <w:rFonts w:hint="eastAsia" w:ascii="宋体" w:hAnsi="宋体" w:cs="宋体"/>
                <w:color w:val="auto"/>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2"/>
              </w:rPr>
            </w:pPr>
            <w:r>
              <w:rPr>
                <w:rFonts w:ascii="宋体" w:hAnsi="宋体" w:cs="宋体"/>
                <w:color w:val="auto"/>
                <w:kern w:val="0"/>
                <w:sz w:val="22"/>
              </w:rPr>
              <w:t>7</w:t>
            </w:r>
          </w:p>
        </w:tc>
        <w:tc>
          <w:tcPr>
            <w:tcW w:w="1230" w:type="dxa"/>
            <w:gridSpan w:val="2"/>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3798" w:type="dxa"/>
            <w:gridSpan w:val="3"/>
            <w:tcBorders>
              <w:top w:val="nil"/>
              <w:left w:val="nil"/>
              <w:bottom w:val="single" w:color="auto" w:sz="4" w:space="0"/>
              <w:right w:val="single" w:color="auto" w:sz="4" w:space="0"/>
            </w:tcBorders>
            <w:noWrap/>
            <w:vAlign w:val="center"/>
          </w:tcPr>
          <w:p>
            <w:pPr>
              <w:widowControl/>
              <w:jc w:val="left"/>
              <w:rPr>
                <w:rFonts w:ascii="宋体" w:cs="宋体"/>
                <w:color w:val="auto"/>
                <w:kern w:val="0"/>
                <w:sz w:val="24"/>
                <w:szCs w:val="24"/>
              </w:rPr>
            </w:pPr>
            <w:r>
              <w:rPr>
                <w:rFonts w:hint="eastAsia" w:ascii="宋体" w:hAnsi="宋体" w:cs="宋体"/>
                <w:color w:val="auto"/>
                <w:kern w:val="0"/>
                <w:sz w:val="24"/>
                <w:szCs w:val="24"/>
              </w:rPr>
              <w:t>七、社会保障和就业支出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2"/>
              </w:rPr>
            </w:pPr>
            <w:r>
              <w:rPr>
                <w:rFonts w:ascii="宋体" w:hAnsi="宋体" w:cs="宋体"/>
                <w:color w:val="auto"/>
                <w:kern w:val="0"/>
                <w:sz w:val="22"/>
              </w:rPr>
              <w:t>20</w:t>
            </w:r>
          </w:p>
        </w:tc>
        <w:tc>
          <w:tcPr>
            <w:tcW w:w="3633" w:type="dxa"/>
            <w:gridSpan w:val="3"/>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11.52</w:t>
            </w:r>
          </w:p>
        </w:tc>
      </w:tr>
      <w:tr>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cs="宋体"/>
                <w:color w:val="auto"/>
                <w:kern w:val="0"/>
                <w:sz w:val="22"/>
              </w:rPr>
            </w:pPr>
            <w:r>
              <w:rPr>
                <w:rFonts w:hint="eastAsia" w:ascii="宋体" w:hAnsi="宋体" w:cs="宋体"/>
                <w:color w:val="auto"/>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2"/>
              </w:rPr>
            </w:pPr>
            <w:r>
              <w:rPr>
                <w:rFonts w:ascii="宋体" w:hAnsi="宋体" w:cs="宋体"/>
                <w:color w:val="auto"/>
                <w:kern w:val="0"/>
                <w:sz w:val="22"/>
              </w:rPr>
              <w:t>8</w:t>
            </w:r>
          </w:p>
        </w:tc>
        <w:tc>
          <w:tcPr>
            <w:tcW w:w="1230" w:type="dxa"/>
            <w:gridSpan w:val="2"/>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7.20</w:t>
            </w:r>
          </w:p>
        </w:tc>
        <w:tc>
          <w:tcPr>
            <w:tcW w:w="3798" w:type="dxa"/>
            <w:gridSpan w:val="3"/>
            <w:tcBorders>
              <w:top w:val="nil"/>
              <w:left w:val="nil"/>
              <w:bottom w:val="single" w:color="auto" w:sz="4" w:space="0"/>
              <w:right w:val="single" w:color="auto" w:sz="4" w:space="0"/>
            </w:tcBorders>
            <w:noWrap/>
            <w:vAlign w:val="center"/>
          </w:tcPr>
          <w:p>
            <w:pPr>
              <w:widowControl/>
              <w:jc w:val="left"/>
              <w:rPr>
                <w:rFonts w:ascii="宋体" w:cs="宋体"/>
                <w:color w:val="auto"/>
                <w:kern w:val="0"/>
                <w:sz w:val="22"/>
              </w:rPr>
            </w:pPr>
            <w:r>
              <w:rPr>
                <w:rFonts w:hint="eastAsia" w:ascii="宋体" w:hAnsi="宋体" w:cs="宋体"/>
                <w:color w:val="auto"/>
                <w:kern w:val="0"/>
                <w:sz w:val="22"/>
              </w:rPr>
              <w:t>八、卫生健康支出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2"/>
              </w:rPr>
            </w:pPr>
            <w:r>
              <w:rPr>
                <w:rFonts w:ascii="宋体" w:hAnsi="宋体" w:cs="宋体"/>
                <w:color w:val="auto"/>
                <w:kern w:val="0"/>
                <w:sz w:val="22"/>
              </w:rPr>
              <w:t>21</w:t>
            </w:r>
          </w:p>
        </w:tc>
        <w:tc>
          <w:tcPr>
            <w:tcW w:w="3633" w:type="dxa"/>
            <w:gridSpan w:val="3"/>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5.33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right"/>
              <w:rPr>
                <w:rFonts w:ascii="宋体" w:cs="宋体"/>
                <w:color w:val="auto"/>
                <w:kern w:val="0"/>
                <w:sz w:val="20"/>
                <w:szCs w:val="20"/>
              </w:rPr>
            </w:pPr>
            <w:r>
              <w:rPr>
                <w:rFonts w:hint="eastAsia" w:ascii="宋体" w:hAnsi="宋体" w:cs="宋体"/>
                <w:color w:val="auto"/>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2"/>
              </w:rPr>
            </w:pPr>
            <w:r>
              <w:rPr>
                <w:rFonts w:ascii="宋体" w:hAnsi="宋体" w:cs="宋体"/>
                <w:color w:val="auto"/>
                <w:kern w:val="0"/>
                <w:sz w:val="22"/>
              </w:rPr>
              <w:t>9</w:t>
            </w:r>
          </w:p>
        </w:tc>
        <w:tc>
          <w:tcPr>
            <w:tcW w:w="1230" w:type="dxa"/>
            <w:gridSpan w:val="2"/>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3798" w:type="dxa"/>
            <w:gridSpan w:val="3"/>
            <w:tcBorders>
              <w:top w:val="nil"/>
              <w:left w:val="nil"/>
              <w:bottom w:val="single" w:color="auto" w:sz="4" w:space="0"/>
              <w:right w:val="single" w:color="auto" w:sz="4" w:space="0"/>
            </w:tcBorders>
            <w:noWrap/>
            <w:vAlign w:val="center"/>
          </w:tcPr>
          <w:p>
            <w:pPr>
              <w:widowControl/>
              <w:jc w:val="right"/>
              <w:rPr>
                <w:rFonts w:ascii="宋体" w:cs="宋体"/>
                <w:color w:val="auto"/>
                <w:kern w:val="0"/>
                <w:sz w:val="20"/>
                <w:szCs w:val="20"/>
              </w:rPr>
            </w:pPr>
            <w:r>
              <w:rPr>
                <w:rFonts w:hint="eastAsia" w:ascii="宋体" w:hAnsi="宋体" w:cs="宋体"/>
                <w:color w:val="auto"/>
                <w:kern w:val="0"/>
                <w:sz w:val="20"/>
                <w:szCs w:val="20"/>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2"/>
              </w:rPr>
            </w:pPr>
            <w:r>
              <w:rPr>
                <w:rFonts w:ascii="宋体" w:hAnsi="宋体" w:cs="宋体"/>
                <w:color w:val="auto"/>
                <w:kern w:val="0"/>
                <w:sz w:val="22"/>
              </w:rPr>
              <w:t>22</w:t>
            </w:r>
          </w:p>
        </w:tc>
        <w:tc>
          <w:tcPr>
            <w:tcW w:w="3633" w:type="dxa"/>
            <w:gridSpan w:val="3"/>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r>
      <w:tr>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center"/>
              <w:rPr>
                <w:rFonts w:ascii="宋体" w:cs="宋体"/>
                <w:b/>
                <w:bCs/>
                <w:color w:val="auto"/>
                <w:kern w:val="0"/>
                <w:sz w:val="22"/>
              </w:rPr>
            </w:pPr>
            <w:r>
              <w:rPr>
                <w:rFonts w:hint="eastAsia" w:ascii="宋体" w:hAnsi="宋体" w:cs="宋体"/>
                <w:b/>
                <w:bCs/>
                <w:color w:val="auto"/>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2"/>
              </w:rPr>
            </w:pPr>
            <w:r>
              <w:rPr>
                <w:rFonts w:ascii="宋体" w:hAnsi="宋体" w:cs="宋体"/>
                <w:color w:val="auto"/>
                <w:kern w:val="0"/>
                <w:sz w:val="22"/>
              </w:rPr>
              <w:t>10</w:t>
            </w:r>
          </w:p>
        </w:tc>
        <w:tc>
          <w:tcPr>
            <w:tcW w:w="1230" w:type="dxa"/>
            <w:gridSpan w:val="2"/>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272.90</w:t>
            </w:r>
          </w:p>
        </w:tc>
        <w:tc>
          <w:tcPr>
            <w:tcW w:w="3798" w:type="dxa"/>
            <w:gridSpan w:val="3"/>
            <w:tcBorders>
              <w:top w:val="nil"/>
              <w:left w:val="nil"/>
              <w:bottom w:val="single" w:color="auto" w:sz="4" w:space="0"/>
              <w:right w:val="single" w:color="auto" w:sz="4" w:space="0"/>
            </w:tcBorders>
            <w:noWrap/>
            <w:vAlign w:val="center"/>
          </w:tcPr>
          <w:p>
            <w:pPr>
              <w:widowControl/>
              <w:jc w:val="center"/>
              <w:rPr>
                <w:rFonts w:ascii="宋体" w:cs="宋体"/>
                <w:b/>
                <w:bCs/>
                <w:color w:val="auto"/>
                <w:kern w:val="0"/>
                <w:sz w:val="22"/>
              </w:rPr>
            </w:pPr>
            <w:r>
              <w:rPr>
                <w:rFonts w:hint="eastAsia" w:ascii="宋体" w:hAnsi="宋体" w:cs="宋体"/>
                <w:b/>
                <w:bCs/>
                <w:color w:val="auto"/>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2"/>
              </w:rPr>
            </w:pPr>
            <w:r>
              <w:rPr>
                <w:rFonts w:ascii="宋体" w:hAnsi="宋体" w:cs="宋体"/>
                <w:color w:val="auto"/>
                <w:kern w:val="0"/>
                <w:sz w:val="22"/>
              </w:rPr>
              <w:t>23</w:t>
            </w:r>
          </w:p>
        </w:tc>
        <w:tc>
          <w:tcPr>
            <w:tcW w:w="3633" w:type="dxa"/>
            <w:gridSpan w:val="3"/>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216.57</w:t>
            </w:r>
          </w:p>
        </w:tc>
      </w:tr>
      <w:tr>
        <w:tblPrEx>
          <w:tblCellMar>
            <w:top w:w="0" w:type="dxa"/>
            <w:left w:w="108" w:type="dxa"/>
            <w:bottom w:w="0" w:type="dxa"/>
            <w:right w:w="108" w:type="dxa"/>
          </w:tblCellMar>
        </w:tblPrEx>
        <w:trPr>
          <w:trHeight w:val="90" w:hRule="atLeast"/>
        </w:trPr>
        <w:tc>
          <w:tcPr>
            <w:tcW w:w="4126"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auto"/>
                <w:kern w:val="0"/>
                <w:sz w:val="22"/>
              </w:rPr>
            </w:pPr>
            <w:r>
              <w:rPr>
                <w:rFonts w:ascii="宋体" w:hAnsi="宋体" w:cs="宋体"/>
                <w:color w:val="auto"/>
                <w:kern w:val="0"/>
                <w:sz w:val="22"/>
              </w:rPr>
              <w:t xml:space="preserve">         </w:t>
            </w:r>
            <w:r>
              <w:rPr>
                <w:rFonts w:hint="eastAsia" w:ascii="宋体" w:hAnsi="宋体" w:cs="宋体"/>
                <w:color w:val="auto"/>
                <w:kern w:val="0"/>
                <w:sz w:val="22"/>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2"/>
              </w:rPr>
            </w:pPr>
            <w:r>
              <w:rPr>
                <w:rFonts w:ascii="宋体" w:hAnsi="宋体" w:cs="宋体"/>
                <w:color w:val="auto"/>
                <w:kern w:val="0"/>
                <w:sz w:val="22"/>
              </w:rPr>
              <w:t>11</w:t>
            </w:r>
          </w:p>
        </w:tc>
        <w:tc>
          <w:tcPr>
            <w:tcW w:w="1230" w:type="dxa"/>
            <w:gridSpan w:val="2"/>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3798" w:type="dxa"/>
            <w:gridSpan w:val="3"/>
            <w:tcBorders>
              <w:top w:val="nil"/>
              <w:left w:val="nil"/>
              <w:bottom w:val="single" w:color="auto" w:sz="4" w:space="0"/>
              <w:right w:val="single" w:color="auto" w:sz="4" w:space="0"/>
            </w:tcBorders>
            <w:noWrap/>
            <w:vAlign w:val="center"/>
          </w:tcPr>
          <w:p>
            <w:pPr>
              <w:widowControl/>
              <w:jc w:val="left"/>
              <w:rPr>
                <w:rFonts w:ascii="宋体" w:cs="宋体"/>
                <w:color w:val="auto"/>
                <w:kern w:val="0"/>
                <w:sz w:val="22"/>
              </w:rPr>
            </w:pPr>
            <w:r>
              <w:rPr>
                <w:rFonts w:ascii="宋体" w:hAnsi="宋体" w:cs="宋体"/>
                <w:color w:val="auto"/>
                <w:kern w:val="0"/>
                <w:sz w:val="22"/>
              </w:rPr>
              <w:t xml:space="preserve">                </w:t>
            </w:r>
            <w:r>
              <w:rPr>
                <w:rFonts w:hint="eastAsia" w:ascii="宋体" w:hAnsi="宋体" w:cs="宋体"/>
                <w:color w:val="auto"/>
                <w:kern w:val="0"/>
                <w:sz w:val="22"/>
              </w:rPr>
              <w:t>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2"/>
              </w:rPr>
            </w:pPr>
            <w:r>
              <w:rPr>
                <w:rFonts w:ascii="宋体" w:hAnsi="宋体" w:cs="宋体"/>
                <w:color w:val="auto"/>
                <w:kern w:val="0"/>
                <w:sz w:val="22"/>
              </w:rPr>
              <w:t>24</w:t>
            </w:r>
          </w:p>
        </w:tc>
        <w:tc>
          <w:tcPr>
            <w:tcW w:w="3633" w:type="dxa"/>
            <w:gridSpan w:val="3"/>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r>
      <w:tr>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auto"/>
                <w:kern w:val="0"/>
                <w:sz w:val="22"/>
              </w:rPr>
            </w:pPr>
            <w:r>
              <w:rPr>
                <w:rFonts w:ascii="宋体" w:hAnsi="宋体" w:cs="宋体"/>
                <w:color w:val="auto"/>
                <w:kern w:val="0"/>
                <w:sz w:val="22"/>
              </w:rPr>
              <w:t xml:space="preserve">         </w:t>
            </w:r>
            <w:r>
              <w:rPr>
                <w:rFonts w:hint="eastAsia" w:ascii="宋体" w:hAnsi="宋体" w:cs="宋体"/>
                <w:color w:val="auto"/>
                <w:kern w:val="0"/>
                <w:sz w:val="22"/>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2"/>
              </w:rPr>
            </w:pPr>
            <w:r>
              <w:rPr>
                <w:rFonts w:ascii="宋体" w:hAnsi="宋体" w:cs="宋体"/>
                <w:color w:val="auto"/>
                <w:kern w:val="0"/>
                <w:sz w:val="22"/>
              </w:rPr>
              <w:t>12</w:t>
            </w:r>
          </w:p>
        </w:tc>
        <w:tc>
          <w:tcPr>
            <w:tcW w:w="1230" w:type="dxa"/>
            <w:gridSpan w:val="2"/>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3798" w:type="dxa"/>
            <w:gridSpan w:val="3"/>
            <w:tcBorders>
              <w:top w:val="nil"/>
              <w:left w:val="nil"/>
              <w:bottom w:val="single" w:color="auto" w:sz="4" w:space="0"/>
              <w:right w:val="single" w:color="auto" w:sz="4" w:space="0"/>
            </w:tcBorders>
            <w:noWrap/>
            <w:vAlign w:val="center"/>
          </w:tcPr>
          <w:p>
            <w:pPr>
              <w:widowControl/>
              <w:jc w:val="left"/>
              <w:rPr>
                <w:rFonts w:ascii="宋体" w:cs="宋体"/>
                <w:color w:val="auto"/>
                <w:kern w:val="0"/>
                <w:sz w:val="22"/>
              </w:rPr>
            </w:pPr>
            <w:r>
              <w:rPr>
                <w:rFonts w:ascii="宋体" w:hAnsi="宋体" w:cs="宋体"/>
                <w:color w:val="auto"/>
                <w:kern w:val="0"/>
                <w:sz w:val="22"/>
              </w:rPr>
              <w:t xml:space="preserve">                </w:t>
            </w:r>
            <w:r>
              <w:rPr>
                <w:rFonts w:hint="eastAsia" w:ascii="宋体" w:hAnsi="宋体" w:cs="宋体"/>
                <w:color w:val="auto"/>
                <w:kern w:val="0"/>
                <w:sz w:val="22"/>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2"/>
              </w:rPr>
            </w:pPr>
            <w:r>
              <w:rPr>
                <w:rFonts w:ascii="宋体" w:hAnsi="宋体" w:cs="宋体"/>
                <w:color w:val="auto"/>
                <w:kern w:val="0"/>
                <w:sz w:val="22"/>
              </w:rPr>
              <w:t>25</w:t>
            </w:r>
          </w:p>
        </w:tc>
        <w:tc>
          <w:tcPr>
            <w:tcW w:w="3633" w:type="dxa"/>
            <w:gridSpan w:val="3"/>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56.33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cs="宋体"/>
                <w:b/>
                <w:bCs/>
                <w:color w:val="auto"/>
                <w:kern w:val="0"/>
                <w:sz w:val="22"/>
              </w:rPr>
            </w:pPr>
            <w:r>
              <w:rPr>
                <w:rFonts w:hint="eastAsia" w:ascii="宋体" w:hAnsi="宋体" w:cs="宋体"/>
                <w:b/>
                <w:bCs/>
                <w:color w:val="auto"/>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2"/>
              </w:rPr>
            </w:pPr>
            <w:r>
              <w:rPr>
                <w:rFonts w:ascii="宋体" w:hAnsi="宋体" w:cs="宋体"/>
                <w:color w:val="auto"/>
                <w:kern w:val="0"/>
                <w:sz w:val="22"/>
              </w:rPr>
              <w:t>13</w:t>
            </w:r>
          </w:p>
        </w:tc>
        <w:tc>
          <w:tcPr>
            <w:tcW w:w="1230" w:type="dxa"/>
            <w:gridSpan w:val="2"/>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272.90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b/>
                <w:bCs/>
                <w:color w:val="auto"/>
                <w:kern w:val="0"/>
                <w:sz w:val="22"/>
              </w:rPr>
            </w:pPr>
            <w:r>
              <w:rPr>
                <w:rFonts w:hint="eastAsia" w:ascii="宋体" w:hAnsi="宋体" w:cs="宋体"/>
                <w:b/>
                <w:bCs/>
                <w:color w:val="auto"/>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2"/>
              </w:rPr>
            </w:pPr>
            <w:r>
              <w:rPr>
                <w:rFonts w:ascii="宋体" w:hAnsi="宋体" w:cs="宋体"/>
                <w:color w:val="auto"/>
                <w:kern w:val="0"/>
                <w:sz w:val="22"/>
              </w:rPr>
              <w:t>26</w:t>
            </w:r>
          </w:p>
        </w:tc>
        <w:tc>
          <w:tcPr>
            <w:tcW w:w="3633" w:type="dxa"/>
            <w:gridSpan w:val="3"/>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272.90</w:t>
            </w:r>
          </w:p>
        </w:tc>
      </w:tr>
      <w:tr>
        <w:trPr>
          <w:trHeight w:val="1020" w:hRule="atLeast"/>
        </w:trPr>
        <w:tc>
          <w:tcPr>
            <w:tcW w:w="14081" w:type="dxa"/>
            <w:gridSpan w:val="11"/>
            <w:tcBorders>
              <w:top w:val="nil"/>
              <w:left w:val="nil"/>
              <w:bottom w:val="nil"/>
              <w:right w:val="nil"/>
            </w:tcBorders>
            <w:vAlign w:val="center"/>
          </w:tcPr>
          <w:p>
            <w:pPr>
              <w:widowControl/>
              <w:jc w:val="left"/>
              <w:rPr>
                <w:rFonts w:ascii="宋体" w:cs="宋体"/>
                <w:color w:val="auto"/>
                <w:kern w:val="0"/>
                <w:sz w:val="24"/>
                <w:szCs w:val="24"/>
              </w:rPr>
            </w:pPr>
            <w:r>
              <w:rPr>
                <w:rFonts w:hint="eastAsia" w:ascii="宋体" w:hAnsi="宋体" w:cs="宋体"/>
                <w:color w:val="auto"/>
                <w:kern w:val="0"/>
                <w:sz w:val="24"/>
                <w:szCs w:val="24"/>
              </w:rPr>
              <w:t>注：</w:t>
            </w:r>
            <w:r>
              <w:rPr>
                <w:rFonts w:ascii="宋体" w:hAnsi="宋体" w:cs="宋体"/>
                <w:color w:val="auto"/>
                <w:kern w:val="0"/>
                <w:sz w:val="24"/>
                <w:szCs w:val="24"/>
              </w:rPr>
              <w:t>1.</w:t>
            </w:r>
            <w:r>
              <w:rPr>
                <w:rFonts w:hint="eastAsia" w:ascii="宋体" w:hAnsi="宋体" w:cs="宋体"/>
                <w:color w:val="auto"/>
                <w:kern w:val="0"/>
                <w:sz w:val="24"/>
                <w:szCs w:val="24"/>
              </w:rPr>
              <w:t>本表反映部门本年度的总收支和年末结转结余情况。</w:t>
            </w:r>
          </w:p>
          <w:p>
            <w:pPr>
              <w:widowControl/>
              <w:jc w:val="left"/>
              <w:rPr>
                <w:rFonts w:ascii="宋体" w:cs="宋体"/>
                <w:color w:val="auto"/>
                <w:kern w:val="0"/>
                <w:sz w:val="24"/>
                <w:szCs w:val="24"/>
              </w:rPr>
            </w:pPr>
            <w:r>
              <w:rPr>
                <w:rFonts w:ascii="宋体" w:hAnsi="宋体" w:cs="宋体"/>
                <w:color w:val="auto"/>
                <w:kern w:val="0"/>
                <w:sz w:val="24"/>
                <w:szCs w:val="24"/>
              </w:rPr>
              <w:t xml:space="preserve"> 2.</w:t>
            </w:r>
            <w:r>
              <w:rPr>
                <w:rFonts w:hint="eastAsia" w:ascii="宋体" w:hAnsi="宋体" w:cs="宋体"/>
                <w:color w:val="auto"/>
                <w:kern w:val="0"/>
                <w:sz w:val="24"/>
                <w:szCs w:val="24"/>
              </w:rPr>
              <w:t>本套报表金额单位转换时可能存在尾数误差。</w:t>
            </w:r>
          </w:p>
        </w:tc>
      </w:tr>
    </w:tbl>
    <w:p>
      <w:pPr>
        <w:jc w:val="center"/>
        <w:rPr>
          <w:rFonts w:ascii="黑体" w:hAnsi="黑体" w:eastAsia="黑体"/>
          <w:color w:val="auto"/>
          <w:sz w:val="28"/>
          <w:szCs w:val="28"/>
        </w:rPr>
        <w:sectPr>
          <w:pgSz w:w="16838" w:h="11906" w:orient="landscape"/>
          <w:pgMar w:top="1797" w:right="1440" w:bottom="1797" w:left="1440" w:header="851" w:footer="992" w:gutter="0"/>
          <w:cols w:space="425" w:num="1"/>
          <w:docGrid w:type="linesAndChars" w:linePitch="312" w:charSpace="0"/>
        </w:sectPr>
      </w:pPr>
    </w:p>
    <w:tbl>
      <w:tblPr>
        <w:tblStyle w:val="7"/>
        <w:tblW w:w="15428" w:type="dxa"/>
        <w:tblInd w:w="0" w:type="dxa"/>
        <w:tblLayout w:type="fixed"/>
        <w:tblCellMar>
          <w:top w:w="0" w:type="dxa"/>
          <w:left w:w="0" w:type="dxa"/>
          <w:bottom w:w="0" w:type="dxa"/>
          <w:right w:w="0" w:type="dxa"/>
        </w:tblCellMar>
      </w:tblPr>
      <w:tblGrid>
        <w:gridCol w:w="57"/>
        <w:gridCol w:w="864"/>
        <w:gridCol w:w="3870"/>
        <w:gridCol w:w="1707"/>
        <w:gridCol w:w="1707"/>
        <w:gridCol w:w="1464"/>
        <w:gridCol w:w="1464"/>
        <w:gridCol w:w="1248"/>
        <w:gridCol w:w="1249"/>
        <w:gridCol w:w="1798"/>
      </w:tblGrid>
      <w:tr>
        <w:trPr>
          <w:trHeight w:val="90" w:hRule="atLeast"/>
        </w:trPr>
        <w:tc>
          <w:tcPr>
            <w:tcW w:w="15428" w:type="dxa"/>
            <w:gridSpan w:val="10"/>
            <w:tcBorders>
              <w:top w:val="nil"/>
              <w:left w:val="nil"/>
              <w:bottom w:val="nil"/>
              <w:right w:val="nil"/>
            </w:tcBorders>
            <w:noWrap/>
            <w:tcMar>
              <w:top w:w="15" w:type="dxa"/>
              <w:left w:w="15" w:type="dxa"/>
              <w:bottom w:w="0" w:type="dxa"/>
              <w:right w:w="15" w:type="dxa"/>
            </w:tcMar>
            <w:vAlign w:val="center"/>
          </w:tcPr>
          <w:p>
            <w:pPr>
              <w:jc w:val="center"/>
              <w:rPr>
                <w:rFonts w:ascii="华文中宋" w:hAnsi="华文中宋" w:eastAsia="华文中宋" w:cs="宋体"/>
                <w:color w:val="auto"/>
                <w:sz w:val="32"/>
                <w:szCs w:val="32"/>
              </w:rPr>
            </w:pPr>
            <w:r>
              <w:rPr>
                <w:rFonts w:hint="eastAsia" w:ascii="华文中宋" w:hAnsi="华文中宋" w:eastAsia="华文中宋"/>
                <w:color w:val="auto"/>
                <w:sz w:val="32"/>
                <w:szCs w:val="32"/>
              </w:rPr>
              <w:t>收入决算表</w:t>
            </w:r>
          </w:p>
        </w:tc>
      </w:tr>
      <w:tr>
        <w:trPr>
          <w:trHeight w:val="90" w:hRule="atLeast"/>
        </w:trPr>
        <w:tc>
          <w:tcPr>
            <w:tcW w:w="5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color w:val="auto"/>
                <w:sz w:val="24"/>
                <w:szCs w:val="24"/>
              </w:rPr>
            </w:pPr>
            <w:r>
              <w:rPr>
                <w:rFonts w:hint="eastAsia"/>
                <w:color w:val="auto"/>
              </w:rPr>
              <w:t>　</w:t>
            </w:r>
          </w:p>
        </w:tc>
        <w:tc>
          <w:tcPr>
            <w:tcW w:w="53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color w:val="auto"/>
                <w:sz w:val="24"/>
                <w:szCs w:val="24"/>
              </w:rPr>
            </w:pPr>
            <w:r>
              <w:rPr>
                <w:rFonts w:hint="eastAsia"/>
                <w:color w:val="auto"/>
              </w:rPr>
              <w:t>　</w:t>
            </w:r>
          </w:p>
        </w:tc>
        <w:tc>
          <w:tcPr>
            <w:tcW w:w="387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color w:val="auto"/>
                <w:sz w:val="24"/>
                <w:szCs w:val="24"/>
              </w:rPr>
            </w:pPr>
            <w:r>
              <w:rPr>
                <w:rFonts w:hint="eastAsia"/>
                <w:color w:val="auto"/>
              </w:rPr>
              <w:t>　</w:t>
            </w:r>
          </w:p>
        </w:tc>
        <w:tc>
          <w:tcPr>
            <w:tcW w:w="170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color w:val="auto"/>
                <w:sz w:val="24"/>
                <w:szCs w:val="24"/>
              </w:rPr>
            </w:pPr>
            <w:r>
              <w:rPr>
                <w:rFonts w:hint="eastAsia"/>
                <w:color w:val="auto"/>
              </w:rPr>
              <w:t>　</w:t>
            </w:r>
          </w:p>
        </w:tc>
        <w:tc>
          <w:tcPr>
            <w:tcW w:w="170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color w:val="auto"/>
                <w:sz w:val="24"/>
                <w:szCs w:val="24"/>
              </w:rPr>
            </w:pPr>
            <w:r>
              <w:rPr>
                <w:rFonts w:hint="eastAsia"/>
                <w:color w:val="auto"/>
              </w:rPr>
              <w:t>　</w:t>
            </w:r>
          </w:p>
        </w:tc>
        <w:tc>
          <w:tcPr>
            <w:tcW w:w="146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color w:val="auto"/>
                <w:sz w:val="24"/>
                <w:szCs w:val="24"/>
              </w:rPr>
            </w:pPr>
            <w:r>
              <w:rPr>
                <w:rFonts w:hint="eastAsia"/>
                <w:color w:val="auto"/>
              </w:rPr>
              <w:t>　</w:t>
            </w:r>
          </w:p>
        </w:tc>
        <w:tc>
          <w:tcPr>
            <w:tcW w:w="146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color w:val="auto"/>
                <w:sz w:val="24"/>
                <w:szCs w:val="24"/>
              </w:rPr>
            </w:pPr>
            <w:r>
              <w:rPr>
                <w:rFonts w:hint="eastAsia"/>
                <w:color w:val="auto"/>
              </w:rPr>
              <w:t>　</w:t>
            </w:r>
          </w:p>
        </w:tc>
        <w:tc>
          <w:tcPr>
            <w:tcW w:w="124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color w:val="auto"/>
                <w:sz w:val="24"/>
                <w:szCs w:val="24"/>
              </w:rPr>
            </w:pPr>
            <w:r>
              <w:rPr>
                <w:rFonts w:hint="eastAsia"/>
                <w:color w:val="auto"/>
              </w:rPr>
              <w:t>　</w:t>
            </w:r>
          </w:p>
        </w:tc>
        <w:tc>
          <w:tcPr>
            <w:tcW w:w="12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color w:val="auto"/>
                <w:sz w:val="24"/>
                <w:szCs w:val="24"/>
              </w:rPr>
            </w:pPr>
            <w:r>
              <w:rPr>
                <w:rFonts w:hint="eastAsia"/>
                <w:color w:val="auto"/>
              </w:rPr>
              <w:t>　</w:t>
            </w:r>
          </w:p>
        </w:tc>
        <w:tc>
          <w:tcPr>
            <w:tcW w:w="179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color w:val="auto"/>
                <w:sz w:val="20"/>
                <w:szCs w:val="20"/>
              </w:rPr>
            </w:pPr>
            <w:r>
              <w:rPr>
                <w:rFonts w:hint="eastAsia"/>
                <w:color w:val="auto"/>
                <w:sz w:val="20"/>
                <w:szCs w:val="20"/>
              </w:rPr>
              <w:t>公开</w:t>
            </w:r>
            <w:r>
              <w:rPr>
                <w:color w:val="auto"/>
                <w:sz w:val="20"/>
                <w:szCs w:val="20"/>
              </w:rPr>
              <w:t>02</w:t>
            </w:r>
            <w:r>
              <w:rPr>
                <w:rFonts w:hint="eastAsia"/>
                <w:color w:val="auto"/>
                <w:sz w:val="20"/>
                <w:szCs w:val="20"/>
              </w:rPr>
              <w:t>表</w:t>
            </w:r>
          </w:p>
        </w:tc>
      </w:tr>
      <w:tr>
        <w:trPr>
          <w:trHeight w:val="90" w:hRule="atLeast"/>
        </w:trPr>
        <w:tc>
          <w:tcPr>
            <w:tcW w:w="92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cs="宋体"/>
                <w:color w:val="auto"/>
                <w:sz w:val="20"/>
                <w:szCs w:val="20"/>
              </w:rPr>
            </w:pPr>
            <w:r>
              <w:rPr>
                <w:rFonts w:hint="eastAsia"/>
                <w:color w:val="auto"/>
                <w:sz w:val="20"/>
                <w:szCs w:val="20"/>
              </w:rPr>
              <w:t>部门：</w:t>
            </w:r>
          </w:p>
        </w:tc>
        <w:tc>
          <w:tcPr>
            <w:tcW w:w="3873" w:type="dxa"/>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cs="宋体"/>
                <w:color w:val="auto"/>
                <w:sz w:val="24"/>
                <w:szCs w:val="24"/>
              </w:rPr>
            </w:pPr>
            <w:r>
              <w:rPr>
                <w:rFonts w:hint="eastAsia" w:ascii="宋体" w:hAnsi="宋体" w:cs="宋体"/>
                <w:color w:val="auto"/>
                <w:kern w:val="0"/>
                <w:sz w:val="20"/>
                <w:szCs w:val="20"/>
              </w:rPr>
              <w:t>岳阳市市场监督管理局城陵矶新港区分局</w:t>
            </w:r>
            <w:r>
              <w:rPr>
                <w:rFonts w:hint="eastAsia"/>
                <w:color w:val="auto"/>
              </w:rPr>
              <w:t>　</w:t>
            </w:r>
          </w:p>
        </w:tc>
        <w:tc>
          <w:tcPr>
            <w:tcW w:w="170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color w:val="auto"/>
                <w:sz w:val="24"/>
                <w:szCs w:val="24"/>
              </w:rPr>
            </w:pPr>
            <w:r>
              <w:rPr>
                <w:rFonts w:hint="eastAsia"/>
                <w:color w:val="auto"/>
              </w:rPr>
              <w:t>　</w:t>
            </w:r>
          </w:p>
        </w:tc>
        <w:tc>
          <w:tcPr>
            <w:tcW w:w="170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color w:val="auto"/>
                <w:sz w:val="24"/>
                <w:szCs w:val="24"/>
              </w:rPr>
            </w:pPr>
            <w:r>
              <w:rPr>
                <w:rFonts w:hint="eastAsia"/>
                <w:color w:val="auto"/>
              </w:rPr>
              <w:t>　</w:t>
            </w:r>
          </w:p>
        </w:tc>
        <w:tc>
          <w:tcPr>
            <w:tcW w:w="1465"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cs="宋体"/>
                <w:color w:val="auto"/>
                <w:sz w:val="20"/>
                <w:szCs w:val="20"/>
              </w:rPr>
            </w:pPr>
            <w:r>
              <w:rPr>
                <w:rFonts w:hint="eastAsia"/>
                <w:color w:val="auto"/>
                <w:sz w:val="20"/>
                <w:szCs w:val="20"/>
              </w:rPr>
              <w:t>　</w:t>
            </w:r>
          </w:p>
        </w:tc>
        <w:tc>
          <w:tcPr>
            <w:tcW w:w="146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color w:val="auto"/>
                <w:sz w:val="24"/>
                <w:szCs w:val="24"/>
              </w:rPr>
            </w:pPr>
            <w:r>
              <w:rPr>
                <w:rFonts w:hint="eastAsia"/>
                <w:color w:val="auto"/>
              </w:rPr>
              <w:t>　</w:t>
            </w:r>
          </w:p>
        </w:tc>
        <w:tc>
          <w:tcPr>
            <w:tcW w:w="124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color w:val="auto"/>
                <w:sz w:val="24"/>
                <w:szCs w:val="24"/>
              </w:rPr>
            </w:pPr>
            <w:r>
              <w:rPr>
                <w:rFonts w:hint="eastAsia"/>
                <w:color w:val="auto"/>
              </w:rPr>
              <w:t>　</w:t>
            </w:r>
          </w:p>
        </w:tc>
        <w:tc>
          <w:tcPr>
            <w:tcW w:w="12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color w:val="auto"/>
                <w:sz w:val="24"/>
                <w:szCs w:val="24"/>
              </w:rPr>
            </w:pPr>
            <w:r>
              <w:rPr>
                <w:rFonts w:hint="eastAsia"/>
                <w:color w:val="auto"/>
              </w:rPr>
              <w:t>　</w:t>
            </w:r>
          </w:p>
        </w:tc>
        <w:tc>
          <w:tcPr>
            <w:tcW w:w="179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color w:val="auto"/>
                <w:sz w:val="20"/>
                <w:szCs w:val="20"/>
              </w:rPr>
            </w:pPr>
            <w:r>
              <w:rPr>
                <w:rFonts w:hint="eastAsia"/>
                <w:color w:val="auto"/>
                <w:sz w:val="20"/>
                <w:szCs w:val="20"/>
              </w:rPr>
              <w:t>单位：万元</w:t>
            </w:r>
          </w:p>
        </w:tc>
      </w:tr>
      <w:tr>
        <w:trPr>
          <w:trHeight w:val="90" w:hRule="atLeast"/>
        </w:trPr>
        <w:tc>
          <w:tcPr>
            <w:tcW w:w="4795"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宋体"/>
                <w:color w:val="auto"/>
                <w:sz w:val="24"/>
                <w:szCs w:val="24"/>
              </w:rPr>
            </w:pPr>
            <w:r>
              <w:rPr>
                <w:rFonts w:hint="eastAsia"/>
                <w:color w:val="auto"/>
              </w:rPr>
              <w:t>项</w:t>
            </w:r>
            <w:r>
              <w:rPr>
                <w:color w:val="auto"/>
              </w:rPr>
              <w:t xml:space="preserve">    </w:t>
            </w:r>
            <w:r>
              <w:rPr>
                <w:rFonts w:hint="eastAsia"/>
                <w:color w:val="auto"/>
              </w:rPr>
              <w:t>目</w:t>
            </w:r>
          </w:p>
        </w:tc>
        <w:tc>
          <w:tcPr>
            <w:tcW w:w="170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宋体"/>
                <w:color w:val="auto"/>
                <w:sz w:val="24"/>
                <w:szCs w:val="24"/>
              </w:rPr>
            </w:pPr>
            <w:r>
              <w:rPr>
                <w:rFonts w:hint="eastAsia"/>
                <w:color w:val="auto"/>
              </w:rPr>
              <w:t>本年收入合计</w:t>
            </w:r>
          </w:p>
        </w:tc>
        <w:tc>
          <w:tcPr>
            <w:tcW w:w="1706"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cs="宋体"/>
                <w:color w:val="auto"/>
                <w:sz w:val="24"/>
                <w:szCs w:val="24"/>
              </w:rPr>
            </w:pPr>
            <w:r>
              <w:rPr>
                <w:rFonts w:hint="eastAsia"/>
                <w:color w:val="auto"/>
              </w:rPr>
              <w:t>财政拨款收入</w:t>
            </w:r>
          </w:p>
        </w:tc>
        <w:tc>
          <w:tcPr>
            <w:tcW w:w="146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宋体"/>
                <w:color w:val="auto"/>
                <w:sz w:val="24"/>
                <w:szCs w:val="24"/>
              </w:rPr>
            </w:pPr>
            <w:r>
              <w:rPr>
                <w:rFonts w:hint="eastAsia"/>
                <w:color w:val="auto"/>
              </w:rPr>
              <w:t>上级补助收入</w:t>
            </w:r>
          </w:p>
        </w:tc>
        <w:tc>
          <w:tcPr>
            <w:tcW w:w="146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宋体"/>
                <w:color w:val="auto"/>
                <w:sz w:val="24"/>
                <w:szCs w:val="24"/>
              </w:rPr>
            </w:pPr>
            <w:r>
              <w:rPr>
                <w:rFonts w:hint="eastAsia"/>
                <w:color w:val="auto"/>
              </w:rPr>
              <w:t>事业收入</w:t>
            </w:r>
          </w:p>
        </w:tc>
        <w:tc>
          <w:tcPr>
            <w:tcW w:w="124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宋体"/>
                <w:color w:val="auto"/>
                <w:sz w:val="24"/>
                <w:szCs w:val="24"/>
              </w:rPr>
            </w:pPr>
            <w:r>
              <w:rPr>
                <w:rFonts w:hint="eastAsia"/>
                <w:color w:val="auto"/>
              </w:rPr>
              <w:t>经营收入</w:t>
            </w:r>
          </w:p>
        </w:tc>
        <w:tc>
          <w:tcPr>
            <w:tcW w:w="124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宋体"/>
                <w:color w:val="auto"/>
                <w:sz w:val="24"/>
                <w:szCs w:val="24"/>
              </w:rPr>
            </w:pPr>
            <w:r>
              <w:rPr>
                <w:rFonts w:hint="eastAsia"/>
                <w:color w:val="auto"/>
              </w:rPr>
              <w:t>附属单位上缴收入</w:t>
            </w:r>
          </w:p>
        </w:tc>
        <w:tc>
          <w:tcPr>
            <w:tcW w:w="179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宋体"/>
                <w:color w:val="auto"/>
                <w:sz w:val="24"/>
                <w:szCs w:val="24"/>
              </w:rPr>
            </w:pPr>
            <w:r>
              <w:rPr>
                <w:rFonts w:hint="eastAsia"/>
                <w:color w:val="auto"/>
              </w:rPr>
              <w:t>其他收入</w:t>
            </w:r>
          </w:p>
        </w:tc>
      </w:tr>
      <w:tr>
        <w:trPr>
          <w:trHeight w:val="312" w:hRule="atLeast"/>
        </w:trPr>
        <w:tc>
          <w:tcPr>
            <w:tcW w:w="92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宋体"/>
                <w:color w:val="auto"/>
                <w:sz w:val="24"/>
                <w:szCs w:val="24"/>
              </w:rPr>
            </w:pPr>
            <w:r>
              <w:rPr>
                <w:rFonts w:hint="eastAsia"/>
                <w:color w:val="auto"/>
              </w:rPr>
              <w:t>功能分类科目编码</w:t>
            </w:r>
          </w:p>
        </w:tc>
        <w:tc>
          <w:tcPr>
            <w:tcW w:w="3873"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宋体"/>
                <w:color w:val="auto"/>
                <w:sz w:val="24"/>
                <w:szCs w:val="24"/>
              </w:rPr>
            </w:pPr>
            <w:r>
              <w:rPr>
                <w:rFonts w:hint="eastAsia"/>
                <w:color w:val="auto"/>
              </w:rPr>
              <w:t>科目名称</w:t>
            </w:r>
          </w:p>
        </w:tc>
        <w:tc>
          <w:tcPr>
            <w:tcW w:w="170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color w:val="auto"/>
                <w:sz w:val="24"/>
                <w:szCs w:val="24"/>
              </w:rPr>
            </w:pPr>
          </w:p>
        </w:tc>
        <w:tc>
          <w:tcPr>
            <w:tcW w:w="170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color w:val="auto"/>
                <w:sz w:val="24"/>
                <w:szCs w:val="24"/>
              </w:rPr>
            </w:pPr>
          </w:p>
        </w:tc>
        <w:tc>
          <w:tcPr>
            <w:tcW w:w="146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color w:val="auto"/>
                <w:sz w:val="24"/>
                <w:szCs w:val="24"/>
              </w:rPr>
            </w:pPr>
          </w:p>
        </w:tc>
        <w:tc>
          <w:tcPr>
            <w:tcW w:w="146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color w:val="auto"/>
                <w:sz w:val="24"/>
                <w:szCs w:val="24"/>
              </w:rPr>
            </w:pPr>
          </w:p>
        </w:tc>
        <w:tc>
          <w:tcPr>
            <w:tcW w:w="12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color w:val="auto"/>
                <w:sz w:val="24"/>
                <w:szCs w:val="24"/>
              </w:rPr>
            </w:pPr>
          </w:p>
        </w:tc>
        <w:tc>
          <w:tcPr>
            <w:tcW w:w="125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color w:val="auto"/>
                <w:sz w:val="24"/>
                <w:szCs w:val="24"/>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color w:val="auto"/>
                <w:sz w:val="24"/>
                <w:szCs w:val="24"/>
              </w:rPr>
            </w:pPr>
          </w:p>
        </w:tc>
      </w:tr>
      <w:tr>
        <w:trPr>
          <w:trHeight w:val="312" w:hRule="atLeast"/>
        </w:trPr>
        <w:tc>
          <w:tcPr>
            <w:tcW w:w="92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color w:val="auto"/>
                <w:sz w:val="24"/>
                <w:szCs w:val="24"/>
              </w:rPr>
            </w:pPr>
          </w:p>
        </w:tc>
        <w:tc>
          <w:tcPr>
            <w:tcW w:w="3873" w:type="dxa"/>
            <w:vMerge w:val="continue"/>
            <w:tcBorders>
              <w:top w:val="nil"/>
              <w:left w:val="single" w:color="auto" w:sz="4" w:space="0"/>
              <w:bottom w:val="single" w:color="auto" w:sz="4" w:space="0"/>
              <w:right w:val="single" w:color="auto" w:sz="4" w:space="0"/>
            </w:tcBorders>
            <w:vAlign w:val="center"/>
          </w:tcPr>
          <w:p>
            <w:pPr>
              <w:rPr>
                <w:rFonts w:ascii="宋体" w:cs="宋体"/>
                <w:color w:val="auto"/>
                <w:sz w:val="24"/>
                <w:szCs w:val="24"/>
              </w:rPr>
            </w:pPr>
          </w:p>
        </w:tc>
        <w:tc>
          <w:tcPr>
            <w:tcW w:w="170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color w:val="auto"/>
                <w:sz w:val="24"/>
                <w:szCs w:val="24"/>
              </w:rPr>
            </w:pPr>
          </w:p>
        </w:tc>
        <w:tc>
          <w:tcPr>
            <w:tcW w:w="170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color w:val="auto"/>
                <w:sz w:val="24"/>
                <w:szCs w:val="24"/>
              </w:rPr>
            </w:pPr>
          </w:p>
        </w:tc>
        <w:tc>
          <w:tcPr>
            <w:tcW w:w="146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color w:val="auto"/>
                <w:sz w:val="24"/>
                <w:szCs w:val="24"/>
              </w:rPr>
            </w:pPr>
          </w:p>
        </w:tc>
        <w:tc>
          <w:tcPr>
            <w:tcW w:w="146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color w:val="auto"/>
                <w:sz w:val="24"/>
                <w:szCs w:val="24"/>
              </w:rPr>
            </w:pPr>
          </w:p>
        </w:tc>
        <w:tc>
          <w:tcPr>
            <w:tcW w:w="12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color w:val="auto"/>
                <w:sz w:val="24"/>
                <w:szCs w:val="24"/>
              </w:rPr>
            </w:pPr>
          </w:p>
        </w:tc>
        <w:tc>
          <w:tcPr>
            <w:tcW w:w="125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color w:val="auto"/>
                <w:sz w:val="24"/>
                <w:szCs w:val="24"/>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color w:val="auto"/>
                <w:sz w:val="24"/>
                <w:szCs w:val="24"/>
              </w:rPr>
            </w:pPr>
          </w:p>
        </w:tc>
      </w:tr>
      <w:tr>
        <w:trPr>
          <w:trHeight w:val="90" w:hRule="atLeast"/>
        </w:trPr>
        <w:tc>
          <w:tcPr>
            <w:tcW w:w="478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cs="宋体"/>
                <w:color w:val="auto"/>
                <w:sz w:val="24"/>
                <w:szCs w:val="24"/>
              </w:rPr>
            </w:pPr>
            <w:r>
              <w:rPr>
                <w:rFonts w:hint="eastAsia"/>
                <w:color w:val="auto"/>
              </w:rPr>
              <w:t>栏次</w:t>
            </w:r>
          </w:p>
        </w:tc>
        <w:tc>
          <w:tcPr>
            <w:tcW w:w="17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cs="宋体"/>
                <w:color w:val="auto"/>
                <w:sz w:val="24"/>
                <w:szCs w:val="24"/>
              </w:rPr>
            </w:pPr>
            <w:r>
              <w:rPr>
                <w:color w:val="auto"/>
              </w:rPr>
              <w:t>1</w:t>
            </w:r>
          </w:p>
        </w:tc>
        <w:tc>
          <w:tcPr>
            <w:tcW w:w="17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cs="宋体"/>
                <w:color w:val="auto"/>
                <w:sz w:val="24"/>
                <w:szCs w:val="24"/>
              </w:rPr>
            </w:pPr>
            <w:r>
              <w:rPr>
                <w:color w:val="auto"/>
              </w:rPr>
              <w:t>2</w:t>
            </w:r>
          </w:p>
        </w:tc>
        <w:tc>
          <w:tcPr>
            <w:tcW w:w="14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cs="宋体"/>
                <w:color w:val="auto"/>
                <w:sz w:val="24"/>
                <w:szCs w:val="24"/>
              </w:rPr>
            </w:pPr>
            <w:r>
              <w:rPr>
                <w:color w:val="auto"/>
              </w:rPr>
              <w:t>3</w:t>
            </w:r>
          </w:p>
        </w:tc>
        <w:tc>
          <w:tcPr>
            <w:tcW w:w="14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cs="宋体"/>
                <w:color w:val="auto"/>
                <w:sz w:val="24"/>
                <w:szCs w:val="24"/>
              </w:rPr>
            </w:pPr>
            <w:r>
              <w:rPr>
                <w:color w:val="auto"/>
              </w:rPr>
              <w:t>4</w:t>
            </w:r>
          </w:p>
        </w:tc>
        <w:tc>
          <w:tcPr>
            <w:tcW w:w="124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cs="宋体"/>
                <w:color w:val="auto"/>
                <w:sz w:val="24"/>
                <w:szCs w:val="24"/>
              </w:rPr>
            </w:pPr>
            <w:r>
              <w:rPr>
                <w:color w:val="auto"/>
              </w:rPr>
              <w:t>5</w:t>
            </w:r>
          </w:p>
        </w:tc>
        <w:tc>
          <w:tcPr>
            <w:tcW w:w="12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cs="宋体"/>
                <w:color w:val="auto"/>
                <w:sz w:val="24"/>
                <w:szCs w:val="24"/>
              </w:rPr>
            </w:pPr>
            <w:r>
              <w:rPr>
                <w:color w:val="auto"/>
              </w:rPr>
              <w:t>6</w:t>
            </w:r>
          </w:p>
        </w:tc>
        <w:tc>
          <w:tcPr>
            <w:tcW w:w="17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cs="宋体"/>
                <w:color w:val="auto"/>
                <w:sz w:val="24"/>
                <w:szCs w:val="24"/>
              </w:rPr>
            </w:pPr>
            <w:r>
              <w:rPr>
                <w:color w:val="auto"/>
              </w:rPr>
              <w:t>7</w:t>
            </w:r>
          </w:p>
        </w:tc>
      </w:tr>
      <w:tr>
        <w:trPr>
          <w:trHeight w:val="90" w:hRule="atLeast"/>
        </w:trPr>
        <w:tc>
          <w:tcPr>
            <w:tcW w:w="478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cs="宋体"/>
                <w:color w:val="auto"/>
                <w:sz w:val="24"/>
                <w:szCs w:val="24"/>
              </w:rPr>
            </w:pPr>
            <w:r>
              <w:rPr>
                <w:rFonts w:hint="eastAsia"/>
                <w:color w:val="auto"/>
              </w:rPr>
              <w:t>合计</w:t>
            </w:r>
          </w:p>
        </w:tc>
        <w:tc>
          <w:tcPr>
            <w:tcW w:w="170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hAnsi="宋体" w:cs="宋体"/>
                <w:color w:val="auto"/>
                <w:kern w:val="0"/>
                <w:sz w:val="22"/>
              </w:rPr>
              <w:t>272.90</w:t>
            </w:r>
          </w:p>
        </w:tc>
        <w:tc>
          <w:tcPr>
            <w:tcW w:w="170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hAnsi="宋体" w:cs="宋体"/>
                <w:color w:val="auto"/>
                <w:kern w:val="0"/>
                <w:sz w:val="22"/>
              </w:rPr>
              <w:t>265.70</w:t>
            </w:r>
          </w:p>
        </w:tc>
        <w:tc>
          <w:tcPr>
            <w:tcW w:w="146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46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24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24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7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hAnsi="宋体" w:cs="宋体"/>
                <w:color w:val="auto"/>
                <w:kern w:val="0"/>
                <w:sz w:val="22"/>
              </w:rPr>
              <w:t>7.20</w:t>
            </w:r>
          </w:p>
        </w:tc>
      </w:tr>
      <w:tr>
        <w:trPr>
          <w:trHeight w:val="90" w:hRule="atLeast"/>
        </w:trPr>
        <w:tc>
          <w:tcPr>
            <w:tcW w:w="92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宋体"/>
                <w:color w:val="auto"/>
                <w:sz w:val="24"/>
                <w:szCs w:val="24"/>
              </w:rPr>
            </w:pPr>
            <w:r>
              <w:rPr>
                <w:rFonts w:ascii="宋体" w:hAnsi="宋体" w:cs="宋体"/>
                <w:color w:val="auto"/>
                <w:kern w:val="0"/>
                <w:sz w:val="22"/>
              </w:rPr>
              <w:t>201</w:t>
            </w:r>
          </w:p>
        </w:tc>
        <w:tc>
          <w:tcPr>
            <w:tcW w:w="38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宋体"/>
                <w:color w:val="auto"/>
                <w:sz w:val="24"/>
                <w:szCs w:val="24"/>
              </w:rPr>
            </w:pPr>
            <w:r>
              <w:rPr>
                <w:rFonts w:hint="eastAsia" w:ascii="宋体" w:hAnsi="宋体" w:cs="宋体"/>
                <w:color w:val="auto"/>
                <w:kern w:val="0"/>
                <w:sz w:val="22"/>
              </w:rPr>
              <w:t>一般公共服务支出</w:t>
            </w:r>
          </w:p>
        </w:tc>
        <w:tc>
          <w:tcPr>
            <w:tcW w:w="170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hAnsi="宋体" w:cs="宋体"/>
                <w:color w:val="auto"/>
                <w:kern w:val="0"/>
                <w:sz w:val="22"/>
              </w:rPr>
              <w:t>256.05</w:t>
            </w:r>
          </w:p>
        </w:tc>
        <w:tc>
          <w:tcPr>
            <w:tcW w:w="170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hAnsi="宋体" w:cs="宋体"/>
                <w:color w:val="auto"/>
                <w:kern w:val="0"/>
                <w:sz w:val="22"/>
              </w:rPr>
              <w:t>248.85</w:t>
            </w:r>
          </w:p>
        </w:tc>
        <w:tc>
          <w:tcPr>
            <w:tcW w:w="146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46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24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24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7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hAnsi="宋体" w:cs="宋体"/>
                <w:color w:val="auto"/>
                <w:kern w:val="0"/>
                <w:sz w:val="22"/>
              </w:rPr>
              <w:t>7.20</w:t>
            </w:r>
          </w:p>
        </w:tc>
      </w:tr>
      <w:tr>
        <w:trPr>
          <w:trHeight w:val="90" w:hRule="atLeast"/>
        </w:trPr>
        <w:tc>
          <w:tcPr>
            <w:tcW w:w="92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宋体"/>
                <w:color w:val="auto"/>
                <w:sz w:val="24"/>
                <w:szCs w:val="24"/>
              </w:rPr>
            </w:pPr>
            <w:r>
              <w:rPr>
                <w:rFonts w:ascii="宋体" w:hAnsi="宋体" w:cs="宋体"/>
                <w:color w:val="auto"/>
                <w:kern w:val="0"/>
                <w:sz w:val="22"/>
              </w:rPr>
              <w:t>20114</w:t>
            </w:r>
          </w:p>
        </w:tc>
        <w:tc>
          <w:tcPr>
            <w:tcW w:w="38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宋体"/>
                <w:color w:val="auto"/>
                <w:sz w:val="24"/>
                <w:szCs w:val="24"/>
              </w:rPr>
            </w:pPr>
            <w:r>
              <w:rPr>
                <w:rFonts w:hint="eastAsia" w:ascii="宋体" w:hAnsi="宋体" w:cs="宋体"/>
                <w:color w:val="auto"/>
                <w:kern w:val="0"/>
                <w:sz w:val="22"/>
              </w:rPr>
              <w:t>知识产权事务</w:t>
            </w:r>
          </w:p>
        </w:tc>
        <w:tc>
          <w:tcPr>
            <w:tcW w:w="170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hAnsi="宋体" w:cs="宋体"/>
                <w:color w:val="auto"/>
                <w:kern w:val="0"/>
                <w:sz w:val="22"/>
              </w:rPr>
              <w:t>20.00</w:t>
            </w:r>
          </w:p>
        </w:tc>
        <w:tc>
          <w:tcPr>
            <w:tcW w:w="170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hAnsi="宋体" w:cs="宋体"/>
                <w:color w:val="auto"/>
                <w:kern w:val="0"/>
                <w:sz w:val="22"/>
              </w:rPr>
              <w:t>20.00</w:t>
            </w:r>
          </w:p>
        </w:tc>
        <w:tc>
          <w:tcPr>
            <w:tcW w:w="146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46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24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24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7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r>
      <w:tr>
        <w:trPr>
          <w:trHeight w:val="90" w:hRule="atLeast"/>
        </w:trPr>
        <w:tc>
          <w:tcPr>
            <w:tcW w:w="92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宋体"/>
                <w:color w:val="auto"/>
                <w:sz w:val="24"/>
                <w:szCs w:val="24"/>
              </w:rPr>
            </w:pPr>
            <w:r>
              <w:rPr>
                <w:rFonts w:ascii="宋体" w:hAnsi="宋体" w:cs="宋体"/>
                <w:color w:val="auto"/>
                <w:kern w:val="0"/>
                <w:sz w:val="22"/>
              </w:rPr>
              <w:t>2011405</w:t>
            </w:r>
          </w:p>
        </w:tc>
        <w:tc>
          <w:tcPr>
            <w:tcW w:w="38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宋体"/>
                <w:color w:val="auto"/>
                <w:sz w:val="24"/>
                <w:szCs w:val="24"/>
              </w:rPr>
            </w:pPr>
            <w:r>
              <w:rPr>
                <w:rFonts w:ascii="宋体" w:hAnsi="宋体" w:cs="宋体"/>
                <w:color w:val="auto"/>
                <w:kern w:val="0"/>
                <w:sz w:val="22"/>
              </w:rPr>
              <w:t xml:space="preserve">  </w:t>
            </w:r>
            <w:r>
              <w:rPr>
                <w:rFonts w:hint="eastAsia" w:ascii="宋体" w:hAnsi="宋体" w:cs="宋体"/>
                <w:color w:val="auto"/>
                <w:kern w:val="0"/>
                <w:sz w:val="22"/>
              </w:rPr>
              <w:t>国家知识产权战略</w:t>
            </w:r>
          </w:p>
        </w:tc>
        <w:tc>
          <w:tcPr>
            <w:tcW w:w="170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hAnsi="宋体" w:cs="宋体"/>
                <w:color w:val="auto"/>
                <w:kern w:val="0"/>
                <w:sz w:val="22"/>
              </w:rPr>
              <w:t>20.00</w:t>
            </w:r>
          </w:p>
        </w:tc>
        <w:tc>
          <w:tcPr>
            <w:tcW w:w="170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hAnsi="宋体" w:cs="宋体"/>
                <w:color w:val="auto"/>
                <w:kern w:val="0"/>
                <w:sz w:val="22"/>
              </w:rPr>
              <w:t>20.00</w:t>
            </w:r>
          </w:p>
        </w:tc>
        <w:tc>
          <w:tcPr>
            <w:tcW w:w="146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46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24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24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7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r>
      <w:tr>
        <w:trPr>
          <w:trHeight w:val="90" w:hRule="atLeast"/>
        </w:trPr>
        <w:tc>
          <w:tcPr>
            <w:tcW w:w="92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宋体"/>
                <w:color w:val="auto"/>
                <w:sz w:val="24"/>
                <w:szCs w:val="24"/>
              </w:rPr>
            </w:pPr>
            <w:r>
              <w:rPr>
                <w:rFonts w:ascii="宋体" w:hAnsi="宋体" w:cs="宋体"/>
                <w:color w:val="auto"/>
                <w:kern w:val="0"/>
                <w:sz w:val="22"/>
              </w:rPr>
              <w:t>20138</w:t>
            </w:r>
          </w:p>
        </w:tc>
        <w:tc>
          <w:tcPr>
            <w:tcW w:w="38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宋体"/>
                <w:color w:val="auto"/>
                <w:sz w:val="24"/>
                <w:szCs w:val="24"/>
              </w:rPr>
            </w:pPr>
            <w:r>
              <w:rPr>
                <w:rFonts w:hint="eastAsia" w:ascii="宋体" w:hAnsi="宋体" w:cs="宋体"/>
                <w:color w:val="auto"/>
                <w:kern w:val="0"/>
                <w:sz w:val="22"/>
              </w:rPr>
              <w:t>市场监督管理事务</w:t>
            </w:r>
          </w:p>
        </w:tc>
        <w:tc>
          <w:tcPr>
            <w:tcW w:w="170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hAnsi="宋体" w:cs="宋体"/>
                <w:color w:val="auto"/>
                <w:kern w:val="0"/>
                <w:sz w:val="22"/>
              </w:rPr>
              <w:t>236.05</w:t>
            </w:r>
          </w:p>
        </w:tc>
        <w:tc>
          <w:tcPr>
            <w:tcW w:w="170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hAnsi="宋体" w:cs="宋体"/>
                <w:color w:val="auto"/>
                <w:kern w:val="0"/>
                <w:sz w:val="22"/>
              </w:rPr>
              <w:t>228.85</w:t>
            </w:r>
          </w:p>
        </w:tc>
        <w:tc>
          <w:tcPr>
            <w:tcW w:w="146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46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24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24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7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hAnsi="宋体" w:cs="宋体"/>
                <w:color w:val="auto"/>
                <w:kern w:val="0"/>
                <w:sz w:val="22"/>
              </w:rPr>
              <w:t>7.20</w:t>
            </w:r>
          </w:p>
        </w:tc>
      </w:tr>
      <w:tr>
        <w:trPr>
          <w:trHeight w:val="90" w:hRule="atLeast"/>
        </w:trPr>
        <w:tc>
          <w:tcPr>
            <w:tcW w:w="92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宋体"/>
                <w:color w:val="auto"/>
                <w:sz w:val="24"/>
                <w:szCs w:val="24"/>
              </w:rPr>
            </w:pPr>
            <w:r>
              <w:rPr>
                <w:rFonts w:ascii="宋体" w:hAnsi="宋体" w:cs="宋体"/>
                <w:color w:val="auto"/>
                <w:kern w:val="0"/>
                <w:sz w:val="22"/>
              </w:rPr>
              <w:t>2013801</w:t>
            </w:r>
          </w:p>
        </w:tc>
        <w:tc>
          <w:tcPr>
            <w:tcW w:w="38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宋体"/>
                <w:color w:val="auto"/>
                <w:sz w:val="24"/>
                <w:szCs w:val="24"/>
              </w:rPr>
            </w:pPr>
            <w:r>
              <w:rPr>
                <w:rFonts w:ascii="宋体" w:hAnsi="宋体" w:cs="宋体"/>
                <w:color w:val="auto"/>
                <w:kern w:val="0"/>
                <w:sz w:val="22"/>
              </w:rPr>
              <w:t xml:space="preserve">  </w:t>
            </w:r>
            <w:r>
              <w:rPr>
                <w:rFonts w:hint="eastAsia" w:ascii="宋体" w:hAnsi="宋体" w:cs="宋体"/>
                <w:color w:val="auto"/>
                <w:kern w:val="0"/>
                <w:sz w:val="22"/>
              </w:rPr>
              <w:t>行政运行</w:t>
            </w:r>
          </w:p>
        </w:tc>
        <w:tc>
          <w:tcPr>
            <w:tcW w:w="170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hAnsi="宋体" w:cs="宋体"/>
                <w:color w:val="auto"/>
                <w:kern w:val="0"/>
                <w:sz w:val="22"/>
              </w:rPr>
              <w:t>103.40</w:t>
            </w:r>
          </w:p>
        </w:tc>
        <w:tc>
          <w:tcPr>
            <w:tcW w:w="170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hAnsi="宋体" w:cs="宋体"/>
                <w:color w:val="auto"/>
                <w:kern w:val="0"/>
                <w:sz w:val="22"/>
              </w:rPr>
              <w:t>103.40</w:t>
            </w:r>
          </w:p>
        </w:tc>
        <w:tc>
          <w:tcPr>
            <w:tcW w:w="146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46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24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24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7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r>
      <w:tr>
        <w:trPr>
          <w:trHeight w:val="90" w:hRule="atLeast"/>
        </w:trPr>
        <w:tc>
          <w:tcPr>
            <w:tcW w:w="92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宋体"/>
                <w:color w:val="auto"/>
                <w:sz w:val="24"/>
                <w:szCs w:val="24"/>
              </w:rPr>
            </w:pPr>
            <w:r>
              <w:rPr>
                <w:rFonts w:ascii="宋体" w:hAnsi="宋体" w:cs="宋体"/>
                <w:color w:val="auto"/>
                <w:kern w:val="0"/>
                <w:sz w:val="22"/>
              </w:rPr>
              <w:t>2013802</w:t>
            </w:r>
          </w:p>
        </w:tc>
        <w:tc>
          <w:tcPr>
            <w:tcW w:w="38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宋体"/>
                <w:color w:val="auto"/>
                <w:sz w:val="24"/>
                <w:szCs w:val="24"/>
              </w:rPr>
            </w:pPr>
            <w:r>
              <w:rPr>
                <w:rFonts w:ascii="宋体" w:hAnsi="宋体" w:cs="宋体"/>
                <w:color w:val="auto"/>
                <w:kern w:val="0"/>
                <w:sz w:val="22"/>
              </w:rPr>
              <w:t xml:space="preserve">  </w:t>
            </w:r>
            <w:r>
              <w:rPr>
                <w:rFonts w:hint="eastAsia" w:ascii="宋体" w:hAnsi="宋体" w:cs="宋体"/>
                <w:color w:val="auto"/>
                <w:kern w:val="0"/>
                <w:sz w:val="22"/>
              </w:rPr>
              <w:t>一般行政管理事务</w:t>
            </w:r>
          </w:p>
        </w:tc>
        <w:tc>
          <w:tcPr>
            <w:tcW w:w="170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hAnsi="宋体" w:cs="宋体"/>
                <w:color w:val="auto"/>
                <w:kern w:val="0"/>
                <w:sz w:val="22"/>
              </w:rPr>
              <w:t>125.45</w:t>
            </w:r>
          </w:p>
        </w:tc>
        <w:tc>
          <w:tcPr>
            <w:tcW w:w="170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hAnsi="宋体" w:cs="宋体"/>
                <w:color w:val="auto"/>
                <w:kern w:val="0"/>
                <w:sz w:val="22"/>
              </w:rPr>
              <w:t>125.45</w:t>
            </w:r>
          </w:p>
        </w:tc>
        <w:tc>
          <w:tcPr>
            <w:tcW w:w="146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46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24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24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7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r>
      <w:tr>
        <w:trPr>
          <w:trHeight w:val="90" w:hRule="atLeast"/>
        </w:trPr>
        <w:tc>
          <w:tcPr>
            <w:tcW w:w="92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宋体"/>
                <w:color w:val="auto"/>
                <w:kern w:val="0"/>
                <w:sz w:val="22"/>
              </w:rPr>
            </w:pPr>
            <w:r>
              <w:rPr>
                <w:rFonts w:ascii="宋体" w:hAnsi="宋体" w:cs="宋体"/>
                <w:color w:val="auto"/>
                <w:kern w:val="0"/>
                <w:sz w:val="22"/>
              </w:rPr>
              <w:t>2013899</w:t>
            </w:r>
          </w:p>
        </w:tc>
        <w:tc>
          <w:tcPr>
            <w:tcW w:w="38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宋体"/>
                <w:color w:val="auto"/>
                <w:kern w:val="0"/>
                <w:sz w:val="22"/>
              </w:rPr>
            </w:pPr>
            <w:r>
              <w:rPr>
                <w:rFonts w:ascii="宋体" w:hAnsi="宋体" w:cs="宋体"/>
                <w:color w:val="auto"/>
                <w:kern w:val="0"/>
                <w:sz w:val="22"/>
              </w:rPr>
              <w:t xml:space="preserve">  </w:t>
            </w:r>
            <w:r>
              <w:rPr>
                <w:rFonts w:hint="eastAsia" w:ascii="宋体" w:hAnsi="宋体" w:cs="宋体"/>
                <w:color w:val="auto"/>
                <w:kern w:val="0"/>
                <w:sz w:val="22"/>
              </w:rPr>
              <w:t>其他市场监督管理事务</w:t>
            </w:r>
          </w:p>
        </w:tc>
        <w:tc>
          <w:tcPr>
            <w:tcW w:w="170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hAnsi="宋体" w:cs="宋体"/>
                <w:color w:val="auto"/>
                <w:kern w:val="0"/>
                <w:sz w:val="22"/>
              </w:rPr>
              <w:t>7.20</w:t>
            </w:r>
          </w:p>
        </w:tc>
        <w:tc>
          <w:tcPr>
            <w:tcW w:w="170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46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46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24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24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7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hAnsi="宋体" w:cs="宋体"/>
                <w:color w:val="auto"/>
                <w:kern w:val="0"/>
                <w:sz w:val="22"/>
              </w:rPr>
              <w:t>7.20</w:t>
            </w:r>
          </w:p>
        </w:tc>
      </w:tr>
      <w:tr>
        <w:trPr>
          <w:trHeight w:val="90" w:hRule="atLeast"/>
        </w:trPr>
        <w:tc>
          <w:tcPr>
            <w:tcW w:w="92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宋体"/>
                <w:color w:val="auto"/>
                <w:kern w:val="0"/>
                <w:sz w:val="22"/>
              </w:rPr>
            </w:pPr>
            <w:r>
              <w:rPr>
                <w:rFonts w:ascii="宋体" w:hAnsi="宋体" w:cs="宋体"/>
                <w:color w:val="auto"/>
                <w:kern w:val="0"/>
                <w:sz w:val="22"/>
              </w:rPr>
              <w:t>208</w:t>
            </w:r>
          </w:p>
        </w:tc>
        <w:tc>
          <w:tcPr>
            <w:tcW w:w="38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宋体"/>
                <w:color w:val="auto"/>
                <w:kern w:val="0"/>
                <w:sz w:val="22"/>
              </w:rPr>
            </w:pPr>
            <w:r>
              <w:rPr>
                <w:rFonts w:hint="eastAsia" w:ascii="宋体" w:hAnsi="宋体" w:cs="宋体"/>
                <w:color w:val="auto"/>
                <w:kern w:val="0"/>
                <w:sz w:val="22"/>
              </w:rPr>
              <w:t>社会保障和就业支出</w:t>
            </w:r>
          </w:p>
        </w:tc>
        <w:tc>
          <w:tcPr>
            <w:tcW w:w="170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hAnsi="宋体" w:cs="宋体"/>
                <w:color w:val="auto"/>
                <w:kern w:val="0"/>
                <w:sz w:val="22"/>
              </w:rPr>
              <w:t>11.52</w:t>
            </w:r>
          </w:p>
        </w:tc>
        <w:tc>
          <w:tcPr>
            <w:tcW w:w="170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hAnsi="宋体" w:cs="宋体"/>
                <w:color w:val="auto"/>
                <w:kern w:val="0"/>
                <w:sz w:val="22"/>
              </w:rPr>
              <w:t>11.52</w:t>
            </w:r>
          </w:p>
        </w:tc>
        <w:tc>
          <w:tcPr>
            <w:tcW w:w="146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46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24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24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79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r>
      <w:tr>
        <w:trPr>
          <w:trHeight w:val="90" w:hRule="atLeast"/>
        </w:trPr>
        <w:tc>
          <w:tcPr>
            <w:tcW w:w="92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宋体"/>
                <w:color w:val="auto"/>
                <w:kern w:val="0"/>
                <w:sz w:val="22"/>
              </w:rPr>
            </w:pPr>
            <w:r>
              <w:rPr>
                <w:rFonts w:ascii="宋体" w:hAnsi="宋体" w:cs="宋体"/>
                <w:color w:val="auto"/>
                <w:kern w:val="0"/>
                <w:sz w:val="22"/>
              </w:rPr>
              <w:t>20805</w:t>
            </w:r>
          </w:p>
        </w:tc>
        <w:tc>
          <w:tcPr>
            <w:tcW w:w="38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宋体"/>
                <w:color w:val="auto"/>
                <w:kern w:val="0"/>
                <w:sz w:val="22"/>
              </w:rPr>
            </w:pPr>
            <w:r>
              <w:rPr>
                <w:rFonts w:hint="eastAsia" w:ascii="宋体" w:hAnsi="宋体" w:cs="宋体"/>
                <w:color w:val="auto"/>
                <w:kern w:val="0"/>
                <w:sz w:val="22"/>
              </w:rPr>
              <w:t>行政事业单位养老支出</w:t>
            </w:r>
          </w:p>
        </w:tc>
        <w:tc>
          <w:tcPr>
            <w:tcW w:w="170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hAnsi="宋体" w:cs="宋体"/>
                <w:color w:val="auto"/>
                <w:kern w:val="0"/>
                <w:sz w:val="22"/>
              </w:rPr>
              <w:t>11.52</w:t>
            </w:r>
          </w:p>
        </w:tc>
        <w:tc>
          <w:tcPr>
            <w:tcW w:w="170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hAnsi="宋体" w:cs="宋体"/>
                <w:color w:val="auto"/>
                <w:kern w:val="0"/>
                <w:sz w:val="22"/>
              </w:rPr>
              <w:t>11.52</w:t>
            </w:r>
          </w:p>
        </w:tc>
        <w:tc>
          <w:tcPr>
            <w:tcW w:w="146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46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24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24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79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r>
      <w:tr>
        <w:trPr>
          <w:trHeight w:val="90" w:hRule="atLeast"/>
        </w:trPr>
        <w:tc>
          <w:tcPr>
            <w:tcW w:w="92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宋体"/>
                <w:color w:val="auto"/>
                <w:kern w:val="0"/>
                <w:sz w:val="22"/>
              </w:rPr>
            </w:pPr>
            <w:r>
              <w:rPr>
                <w:rFonts w:ascii="宋体" w:hAnsi="宋体" w:cs="宋体"/>
                <w:color w:val="auto"/>
                <w:kern w:val="0"/>
                <w:sz w:val="22"/>
              </w:rPr>
              <w:t>2080505</w:t>
            </w:r>
          </w:p>
        </w:tc>
        <w:tc>
          <w:tcPr>
            <w:tcW w:w="38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宋体"/>
                <w:color w:val="auto"/>
                <w:kern w:val="0"/>
                <w:sz w:val="22"/>
              </w:rPr>
            </w:pPr>
            <w:r>
              <w:rPr>
                <w:rFonts w:ascii="宋体" w:hAnsi="宋体" w:cs="宋体"/>
                <w:color w:val="auto"/>
                <w:kern w:val="0"/>
                <w:sz w:val="22"/>
              </w:rPr>
              <w:t xml:space="preserve">  </w:t>
            </w:r>
            <w:r>
              <w:rPr>
                <w:rFonts w:hint="eastAsia" w:ascii="宋体" w:hAnsi="宋体" w:cs="宋体"/>
                <w:color w:val="auto"/>
                <w:kern w:val="0"/>
                <w:sz w:val="22"/>
              </w:rPr>
              <w:t>机关事业单位基本养老保险缴费支出</w:t>
            </w:r>
          </w:p>
        </w:tc>
        <w:tc>
          <w:tcPr>
            <w:tcW w:w="170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hAnsi="宋体" w:cs="宋体"/>
                <w:color w:val="auto"/>
                <w:kern w:val="0"/>
                <w:sz w:val="22"/>
              </w:rPr>
              <w:t>11.52</w:t>
            </w:r>
          </w:p>
        </w:tc>
        <w:tc>
          <w:tcPr>
            <w:tcW w:w="170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hAnsi="宋体" w:cs="宋体"/>
                <w:color w:val="auto"/>
                <w:kern w:val="0"/>
                <w:sz w:val="22"/>
              </w:rPr>
              <w:t>11.52</w:t>
            </w:r>
          </w:p>
        </w:tc>
        <w:tc>
          <w:tcPr>
            <w:tcW w:w="146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46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24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24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79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r>
      <w:tr>
        <w:trPr>
          <w:trHeight w:val="90" w:hRule="atLeast"/>
        </w:trPr>
        <w:tc>
          <w:tcPr>
            <w:tcW w:w="92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宋体"/>
                <w:color w:val="auto"/>
                <w:kern w:val="0"/>
                <w:sz w:val="22"/>
              </w:rPr>
            </w:pPr>
            <w:r>
              <w:rPr>
                <w:rFonts w:ascii="宋体" w:hAnsi="宋体" w:cs="宋体"/>
                <w:color w:val="auto"/>
                <w:kern w:val="0"/>
                <w:sz w:val="22"/>
              </w:rPr>
              <w:t>210</w:t>
            </w:r>
          </w:p>
        </w:tc>
        <w:tc>
          <w:tcPr>
            <w:tcW w:w="38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宋体"/>
                <w:color w:val="auto"/>
                <w:kern w:val="0"/>
                <w:sz w:val="22"/>
              </w:rPr>
            </w:pPr>
            <w:r>
              <w:rPr>
                <w:rFonts w:hint="eastAsia" w:ascii="宋体" w:hAnsi="宋体" w:cs="宋体"/>
                <w:color w:val="auto"/>
                <w:kern w:val="0"/>
                <w:sz w:val="22"/>
              </w:rPr>
              <w:t>卫生健康支出</w:t>
            </w:r>
          </w:p>
        </w:tc>
        <w:tc>
          <w:tcPr>
            <w:tcW w:w="170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hAnsi="宋体" w:cs="宋体"/>
                <w:color w:val="auto"/>
                <w:kern w:val="0"/>
                <w:sz w:val="22"/>
              </w:rPr>
              <w:t>5.33</w:t>
            </w:r>
          </w:p>
        </w:tc>
        <w:tc>
          <w:tcPr>
            <w:tcW w:w="170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hAnsi="宋体" w:cs="宋体"/>
                <w:color w:val="auto"/>
                <w:kern w:val="0"/>
                <w:sz w:val="22"/>
              </w:rPr>
              <w:t>5.33</w:t>
            </w:r>
          </w:p>
        </w:tc>
        <w:tc>
          <w:tcPr>
            <w:tcW w:w="146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46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24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24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79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r>
      <w:tr>
        <w:trPr>
          <w:trHeight w:val="90" w:hRule="atLeast"/>
        </w:trPr>
        <w:tc>
          <w:tcPr>
            <w:tcW w:w="92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宋体"/>
                <w:color w:val="auto"/>
                <w:kern w:val="0"/>
                <w:sz w:val="22"/>
              </w:rPr>
            </w:pPr>
            <w:r>
              <w:rPr>
                <w:rFonts w:ascii="宋体" w:hAnsi="宋体" w:cs="宋体"/>
                <w:color w:val="auto"/>
                <w:kern w:val="0"/>
                <w:sz w:val="22"/>
              </w:rPr>
              <w:t>21011</w:t>
            </w:r>
          </w:p>
        </w:tc>
        <w:tc>
          <w:tcPr>
            <w:tcW w:w="38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宋体"/>
                <w:color w:val="auto"/>
                <w:kern w:val="0"/>
                <w:sz w:val="22"/>
              </w:rPr>
            </w:pPr>
            <w:r>
              <w:rPr>
                <w:rFonts w:hint="eastAsia" w:ascii="宋体" w:hAnsi="宋体" w:cs="宋体"/>
                <w:color w:val="auto"/>
                <w:kern w:val="0"/>
                <w:sz w:val="22"/>
              </w:rPr>
              <w:t>行政事业单位医疗</w:t>
            </w:r>
          </w:p>
        </w:tc>
        <w:tc>
          <w:tcPr>
            <w:tcW w:w="170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hAnsi="宋体" w:cs="宋体"/>
                <w:color w:val="auto"/>
                <w:kern w:val="0"/>
                <w:sz w:val="22"/>
              </w:rPr>
              <w:t>5.33</w:t>
            </w:r>
          </w:p>
        </w:tc>
        <w:tc>
          <w:tcPr>
            <w:tcW w:w="170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hAnsi="宋体" w:cs="宋体"/>
                <w:color w:val="auto"/>
                <w:kern w:val="0"/>
                <w:sz w:val="22"/>
              </w:rPr>
              <w:t>5.33</w:t>
            </w:r>
          </w:p>
        </w:tc>
        <w:tc>
          <w:tcPr>
            <w:tcW w:w="146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46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24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24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79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r>
      <w:tr>
        <w:trPr>
          <w:trHeight w:val="90" w:hRule="atLeast"/>
        </w:trPr>
        <w:tc>
          <w:tcPr>
            <w:tcW w:w="92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宋体"/>
                <w:color w:val="auto"/>
                <w:kern w:val="0"/>
                <w:sz w:val="22"/>
              </w:rPr>
            </w:pPr>
            <w:r>
              <w:rPr>
                <w:rFonts w:ascii="宋体" w:hAnsi="宋体" w:cs="宋体"/>
                <w:color w:val="auto"/>
                <w:kern w:val="0"/>
                <w:sz w:val="22"/>
              </w:rPr>
              <w:t>2101101</w:t>
            </w:r>
          </w:p>
        </w:tc>
        <w:tc>
          <w:tcPr>
            <w:tcW w:w="38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宋体"/>
                <w:color w:val="auto"/>
                <w:kern w:val="0"/>
                <w:sz w:val="22"/>
              </w:rPr>
            </w:pPr>
            <w:r>
              <w:rPr>
                <w:rFonts w:ascii="宋体" w:hAnsi="宋体" w:cs="宋体"/>
                <w:color w:val="auto"/>
                <w:kern w:val="0"/>
                <w:sz w:val="22"/>
              </w:rPr>
              <w:t xml:space="preserve">  </w:t>
            </w:r>
            <w:r>
              <w:rPr>
                <w:rFonts w:hint="eastAsia" w:ascii="宋体" w:hAnsi="宋体" w:cs="宋体"/>
                <w:color w:val="auto"/>
                <w:kern w:val="0"/>
                <w:sz w:val="22"/>
              </w:rPr>
              <w:t>行政单位医疗</w:t>
            </w:r>
          </w:p>
        </w:tc>
        <w:tc>
          <w:tcPr>
            <w:tcW w:w="170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hAnsi="宋体" w:cs="宋体"/>
                <w:color w:val="auto"/>
                <w:kern w:val="0"/>
                <w:sz w:val="22"/>
              </w:rPr>
              <w:t>5.33</w:t>
            </w:r>
          </w:p>
        </w:tc>
        <w:tc>
          <w:tcPr>
            <w:tcW w:w="170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hAnsi="宋体" w:cs="宋体"/>
                <w:color w:val="auto"/>
                <w:kern w:val="0"/>
                <w:sz w:val="22"/>
              </w:rPr>
              <w:t>5.33</w:t>
            </w:r>
          </w:p>
        </w:tc>
        <w:tc>
          <w:tcPr>
            <w:tcW w:w="146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46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24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24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c>
          <w:tcPr>
            <w:tcW w:w="179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cs="宋体"/>
                <w:color w:val="auto"/>
                <w:kern w:val="0"/>
                <w:sz w:val="22"/>
              </w:rPr>
            </w:pPr>
            <w:r>
              <w:rPr>
                <w:rFonts w:ascii="宋体" w:cs="宋体"/>
                <w:color w:val="auto"/>
                <w:kern w:val="0"/>
                <w:sz w:val="22"/>
              </w:rPr>
              <w:t>0.00</w:t>
            </w:r>
          </w:p>
        </w:tc>
      </w:tr>
      <w:tr>
        <w:trPr>
          <w:trHeight w:val="90" w:hRule="atLeast"/>
        </w:trPr>
        <w:tc>
          <w:tcPr>
            <w:tcW w:w="15428" w:type="dxa"/>
            <w:gridSpan w:val="10"/>
            <w:tcBorders>
              <w:top w:val="nil"/>
              <w:left w:val="nil"/>
              <w:bottom w:val="nil"/>
              <w:right w:val="nil"/>
            </w:tcBorders>
            <w:tcMar>
              <w:top w:w="15" w:type="dxa"/>
              <w:left w:w="15" w:type="dxa"/>
              <w:bottom w:w="0" w:type="dxa"/>
              <w:right w:w="15" w:type="dxa"/>
            </w:tcMar>
            <w:vAlign w:val="center"/>
          </w:tcPr>
          <w:p>
            <w:pPr>
              <w:rPr>
                <w:rFonts w:ascii="宋体" w:cs="宋体"/>
                <w:color w:val="auto"/>
                <w:sz w:val="24"/>
                <w:szCs w:val="24"/>
              </w:rPr>
            </w:pPr>
            <w:r>
              <w:rPr>
                <w:rFonts w:hint="eastAsia"/>
                <w:color w:val="auto"/>
              </w:rPr>
              <w:t>注：本表反映部门本年度取得的各项收入情况。</w:t>
            </w:r>
          </w:p>
        </w:tc>
      </w:tr>
      <w:tr>
        <w:trPr>
          <w:trHeight w:val="90" w:hRule="atLeast"/>
        </w:trPr>
        <w:tc>
          <w:tcPr>
            <w:tcW w:w="15428" w:type="dxa"/>
            <w:gridSpan w:val="10"/>
            <w:tcBorders>
              <w:top w:val="nil"/>
              <w:left w:val="nil"/>
              <w:bottom w:val="nil"/>
              <w:right w:val="nil"/>
            </w:tcBorders>
            <w:tcMar>
              <w:top w:w="15" w:type="dxa"/>
              <w:left w:w="15" w:type="dxa"/>
              <w:bottom w:w="0" w:type="dxa"/>
              <w:right w:w="15" w:type="dxa"/>
            </w:tcMar>
            <w:vAlign w:val="center"/>
          </w:tcPr>
          <w:p>
            <w:pPr>
              <w:rPr>
                <w:color w:val="auto"/>
              </w:rPr>
            </w:pPr>
          </w:p>
        </w:tc>
      </w:tr>
      <w:tr>
        <w:trPr>
          <w:trHeight w:val="90" w:hRule="atLeast"/>
        </w:trPr>
        <w:tc>
          <w:tcPr>
            <w:tcW w:w="15428" w:type="dxa"/>
            <w:gridSpan w:val="10"/>
            <w:tcBorders>
              <w:top w:val="nil"/>
              <w:left w:val="nil"/>
              <w:bottom w:val="nil"/>
              <w:right w:val="nil"/>
            </w:tcBorders>
            <w:tcMar>
              <w:top w:w="15" w:type="dxa"/>
              <w:left w:w="15" w:type="dxa"/>
              <w:bottom w:w="0" w:type="dxa"/>
              <w:right w:w="15" w:type="dxa"/>
            </w:tcMar>
            <w:vAlign w:val="center"/>
          </w:tcPr>
          <w:p>
            <w:pPr>
              <w:rPr>
                <w:color w:val="auto"/>
              </w:rPr>
            </w:pPr>
          </w:p>
        </w:tc>
      </w:tr>
    </w:tbl>
    <w:p>
      <w:pPr>
        <w:widowControl/>
        <w:jc w:val="left"/>
        <w:rPr>
          <w:rFonts w:ascii="Times New Roman" w:hAnsi="Times New Roman" w:eastAsia="黑体"/>
          <w:bCs/>
          <w:color w:val="auto"/>
          <w:kern w:val="0"/>
          <w:sz w:val="32"/>
          <w:szCs w:val="32"/>
        </w:rPr>
      </w:pPr>
    </w:p>
    <w:p>
      <w:pPr>
        <w:widowControl/>
        <w:rPr>
          <w:rFonts w:ascii="Times New Roman" w:hAnsi="Times New Roman" w:eastAsia="方正小标宋_GBK"/>
          <w:color w:val="auto"/>
          <w:kern w:val="0"/>
          <w:sz w:val="36"/>
          <w:szCs w:val="36"/>
        </w:rPr>
      </w:pPr>
    </w:p>
    <w:tbl>
      <w:tblPr>
        <w:tblStyle w:val="7"/>
        <w:tblW w:w="14182" w:type="dxa"/>
        <w:tblInd w:w="93" w:type="dxa"/>
        <w:tblLayout w:type="fixed"/>
        <w:tblCellMar>
          <w:top w:w="0" w:type="dxa"/>
          <w:left w:w="108" w:type="dxa"/>
          <w:bottom w:w="0" w:type="dxa"/>
          <w:right w:w="108" w:type="dxa"/>
        </w:tblCellMar>
      </w:tblPr>
      <w:tblGrid>
        <w:gridCol w:w="1042"/>
        <w:gridCol w:w="236"/>
        <w:gridCol w:w="2799"/>
        <w:gridCol w:w="1606"/>
        <w:gridCol w:w="1546"/>
        <w:gridCol w:w="1463"/>
        <w:gridCol w:w="1690"/>
        <w:gridCol w:w="1594"/>
        <w:gridCol w:w="2206"/>
      </w:tblGrid>
      <w:tr>
        <w:tblPrEx>
          <w:tblCellMar>
            <w:top w:w="0" w:type="dxa"/>
            <w:left w:w="108" w:type="dxa"/>
            <w:bottom w:w="0" w:type="dxa"/>
            <w:right w:w="108" w:type="dxa"/>
          </w:tblCellMar>
        </w:tblPrEx>
        <w:trPr>
          <w:trHeight w:val="435" w:hRule="atLeast"/>
        </w:trPr>
        <w:tc>
          <w:tcPr>
            <w:tcW w:w="14182" w:type="dxa"/>
            <w:gridSpan w:val="9"/>
            <w:tcBorders>
              <w:top w:val="nil"/>
              <w:left w:val="nil"/>
              <w:bottom w:val="nil"/>
              <w:right w:val="nil"/>
            </w:tcBorders>
            <w:noWrap/>
            <w:vAlign w:val="center"/>
          </w:tcPr>
          <w:p>
            <w:pPr>
              <w:widowControl/>
              <w:jc w:val="center"/>
              <w:rPr>
                <w:rFonts w:ascii="华文中宋" w:hAnsi="华文中宋" w:eastAsia="华文中宋" w:cs="宋体"/>
                <w:color w:val="auto"/>
                <w:kern w:val="0"/>
                <w:sz w:val="32"/>
                <w:szCs w:val="32"/>
              </w:rPr>
            </w:pPr>
          </w:p>
          <w:p>
            <w:pPr>
              <w:widowControl/>
              <w:jc w:val="center"/>
              <w:rPr>
                <w:rFonts w:ascii="华文中宋" w:hAnsi="华文中宋" w:eastAsia="华文中宋" w:cs="宋体"/>
                <w:color w:val="auto"/>
                <w:kern w:val="0"/>
                <w:sz w:val="32"/>
                <w:szCs w:val="32"/>
              </w:rPr>
            </w:pPr>
            <w:r>
              <w:rPr>
                <w:rFonts w:hint="eastAsia" w:ascii="华文中宋" w:hAnsi="华文中宋" w:eastAsia="华文中宋" w:cs="宋体"/>
                <w:color w:val="auto"/>
                <w:kern w:val="0"/>
                <w:sz w:val="32"/>
                <w:szCs w:val="32"/>
              </w:rPr>
              <w:t>支出决算表</w:t>
            </w:r>
          </w:p>
        </w:tc>
      </w:tr>
      <w:tr>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cs="宋体"/>
                <w:color w:val="auto"/>
                <w:kern w:val="0"/>
                <w:sz w:val="24"/>
                <w:szCs w:val="24"/>
              </w:rPr>
            </w:pPr>
            <w:r>
              <w:rPr>
                <w:rFonts w:hint="eastAsia" w:ascii="宋体" w:hAnsi="宋体" w:cs="宋体"/>
                <w:color w:val="auto"/>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cs="宋体"/>
                <w:color w:val="auto"/>
                <w:kern w:val="0"/>
                <w:sz w:val="24"/>
                <w:szCs w:val="24"/>
              </w:rPr>
            </w:pPr>
            <w:r>
              <w:rPr>
                <w:rFonts w:hint="eastAsia" w:ascii="宋体" w:hAnsi="宋体" w:cs="宋体"/>
                <w:color w:val="auto"/>
                <w:kern w:val="0"/>
                <w:sz w:val="24"/>
                <w:szCs w:val="24"/>
              </w:rPr>
              <w:t>　</w:t>
            </w:r>
          </w:p>
        </w:tc>
        <w:tc>
          <w:tcPr>
            <w:tcW w:w="2802" w:type="dxa"/>
            <w:tcBorders>
              <w:top w:val="nil"/>
              <w:left w:val="nil"/>
              <w:bottom w:val="nil"/>
              <w:right w:val="nil"/>
            </w:tcBorders>
            <w:shd w:val="clear" w:color="000000" w:fill="FFFFFF"/>
            <w:noWrap/>
            <w:vAlign w:val="center"/>
          </w:tcPr>
          <w:p>
            <w:pPr>
              <w:widowControl/>
              <w:jc w:val="right"/>
              <w:rPr>
                <w:rFonts w:ascii="宋体" w:cs="宋体"/>
                <w:color w:val="auto"/>
                <w:kern w:val="0"/>
                <w:sz w:val="24"/>
                <w:szCs w:val="24"/>
              </w:rPr>
            </w:pPr>
            <w:r>
              <w:rPr>
                <w:rFonts w:hint="eastAsia" w:ascii="宋体" w:hAnsi="宋体" w:cs="宋体"/>
                <w:color w:val="auto"/>
                <w:kern w:val="0"/>
                <w:sz w:val="24"/>
                <w:szCs w:val="24"/>
              </w:rPr>
              <w:t>　</w:t>
            </w:r>
          </w:p>
        </w:tc>
        <w:tc>
          <w:tcPr>
            <w:tcW w:w="1608" w:type="dxa"/>
            <w:tcBorders>
              <w:top w:val="nil"/>
              <w:left w:val="nil"/>
              <w:bottom w:val="nil"/>
              <w:right w:val="nil"/>
            </w:tcBorders>
            <w:shd w:val="clear" w:color="000000" w:fill="FFFFFF"/>
            <w:noWrap/>
            <w:vAlign w:val="center"/>
          </w:tcPr>
          <w:p>
            <w:pPr>
              <w:widowControl/>
              <w:jc w:val="right"/>
              <w:rPr>
                <w:rFonts w:ascii="宋体" w:cs="宋体"/>
                <w:color w:val="auto"/>
                <w:kern w:val="0"/>
                <w:sz w:val="24"/>
                <w:szCs w:val="24"/>
              </w:rPr>
            </w:pPr>
            <w:r>
              <w:rPr>
                <w:rFonts w:hint="eastAsia" w:ascii="宋体" w:hAnsi="宋体" w:cs="宋体"/>
                <w:color w:val="auto"/>
                <w:kern w:val="0"/>
                <w:sz w:val="24"/>
                <w:szCs w:val="24"/>
              </w:rPr>
              <w:t>　</w:t>
            </w:r>
          </w:p>
        </w:tc>
        <w:tc>
          <w:tcPr>
            <w:tcW w:w="1548" w:type="dxa"/>
            <w:tcBorders>
              <w:top w:val="nil"/>
              <w:left w:val="nil"/>
              <w:bottom w:val="nil"/>
              <w:right w:val="nil"/>
            </w:tcBorders>
            <w:shd w:val="clear" w:color="000000" w:fill="FFFFFF"/>
            <w:noWrap/>
            <w:vAlign w:val="center"/>
          </w:tcPr>
          <w:p>
            <w:pPr>
              <w:widowControl/>
              <w:jc w:val="right"/>
              <w:rPr>
                <w:rFonts w:ascii="宋体" w:cs="宋体"/>
                <w:color w:val="auto"/>
                <w:kern w:val="0"/>
                <w:sz w:val="24"/>
                <w:szCs w:val="24"/>
              </w:rPr>
            </w:pPr>
            <w:r>
              <w:rPr>
                <w:rFonts w:hint="eastAsia" w:ascii="宋体" w:hAnsi="宋体" w:cs="宋体"/>
                <w:color w:val="auto"/>
                <w:kern w:val="0"/>
                <w:sz w:val="24"/>
                <w:szCs w:val="24"/>
              </w:rPr>
              <w:t>　</w:t>
            </w:r>
          </w:p>
        </w:tc>
        <w:tc>
          <w:tcPr>
            <w:tcW w:w="1464" w:type="dxa"/>
            <w:tcBorders>
              <w:top w:val="nil"/>
              <w:left w:val="nil"/>
              <w:bottom w:val="nil"/>
              <w:right w:val="nil"/>
            </w:tcBorders>
            <w:shd w:val="clear" w:color="000000" w:fill="FFFFFF"/>
            <w:noWrap/>
            <w:vAlign w:val="center"/>
          </w:tcPr>
          <w:p>
            <w:pPr>
              <w:widowControl/>
              <w:jc w:val="right"/>
              <w:rPr>
                <w:rFonts w:ascii="宋体" w:cs="宋体"/>
                <w:color w:val="auto"/>
                <w:kern w:val="0"/>
                <w:sz w:val="24"/>
                <w:szCs w:val="24"/>
              </w:rPr>
            </w:pPr>
            <w:r>
              <w:rPr>
                <w:rFonts w:hint="eastAsia" w:ascii="宋体" w:hAnsi="宋体" w:cs="宋体"/>
                <w:color w:val="auto"/>
                <w:kern w:val="0"/>
                <w:sz w:val="24"/>
                <w:szCs w:val="24"/>
              </w:rPr>
              <w:t>　</w:t>
            </w:r>
          </w:p>
        </w:tc>
        <w:tc>
          <w:tcPr>
            <w:tcW w:w="1692" w:type="dxa"/>
            <w:tcBorders>
              <w:top w:val="nil"/>
              <w:left w:val="nil"/>
              <w:bottom w:val="nil"/>
              <w:right w:val="nil"/>
            </w:tcBorders>
            <w:shd w:val="clear" w:color="000000" w:fill="FFFFFF"/>
            <w:noWrap/>
            <w:vAlign w:val="center"/>
          </w:tcPr>
          <w:p>
            <w:pPr>
              <w:widowControl/>
              <w:jc w:val="right"/>
              <w:rPr>
                <w:rFonts w:ascii="宋体" w:cs="宋体"/>
                <w:color w:val="auto"/>
                <w:kern w:val="0"/>
                <w:sz w:val="24"/>
                <w:szCs w:val="24"/>
              </w:rPr>
            </w:pPr>
            <w:r>
              <w:rPr>
                <w:rFonts w:hint="eastAsia" w:ascii="宋体" w:hAnsi="宋体" w:cs="宋体"/>
                <w:color w:val="auto"/>
                <w:kern w:val="0"/>
                <w:sz w:val="24"/>
                <w:szCs w:val="24"/>
              </w:rPr>
              <w:t>　</w:t>
            </w:r>
          </w:p>
        </w:tc>
        <w:tc>
          <w:tcPr>
            <w:tcW w:w="1596" w:type="dxa"/>
            <w:tcBorders>
              <w:top w:val="nil"/>
              <w:left w:val="nil"/>
              <w:bottom w:val="nil"/>
              <w:right w:val="nil"/>
            </w:tcBorders>
            <w:shd w:val="clear" w:color="000000" w:fill="FFFFFF"/>
            <w:noWrap/>
            <w:vAlign w:val="center"/>
          </w:tcPr>
          <w:p>
            <w:pPr>
              <w:widowControl/>
              <w:jc w:val="right"/>
              <w:rPr>
                <w:rFonts w:ascii="宋体" w:cs="宋体"/>
                <w:color w:val="auto"/>
                <w:kern w:val="0"/>
                <w:sz w:val="24"/>
                <w:szCs w:val="24"/>
              </w:rPr>
            </w:pPr>
            <w:r>
              <w:rPr>
                <w:rFonts w:hint="eastAsia" w:ascii="宋体" w:hAnsi="宋体" w:cs="宋体"/>
                <w:color w:val="auto"/>
                <w:kern w:val="0"/>
                <w:sz w:val="24"/>
                <w:szCs w:val="24"/>
              </w:rPr>
              <w:t>　</w:t>
            </w:r>
          </w:p>
        </w:tc>
        <w:tc>
          <w:tcPr>
            <w:tcW w:w="2208" w:type="dxa"/>
            <w:tcBorders>
              <w:top w:val="nil"/>
              <w:left w:val="nil"/>
              <w:bottom w:val="nil"/>
              <w:right w:val="nil"/>
            </w:tcBorders>
            <w:shd w:val="clear" w:color="000000" w:fill="FFFFFF"/>
            <w:noWrap/>
            <w:vAlign w:val="center"/>
          </w:tcPr>
          <w:p>
            <w:pPr>
              <w:widowControl/>
              <w:jc w:val="right"/>
              <w:rPr>
                <w:rFonts w:ascii="宋体" w:cs="宋体"/>
                <w:color w:val="auto"/>
                <w:kern w:val="0"/>
                <w:sz w:val="20"/>
                <w:szCs w:val="20"/>
              </w:rPr>
            </w:pPr>
            <w:r>
              <w:rPr>
                <w:rFonts w:hint="eastAsia" w:ascii="宋体" w:hAnsi="宋体" w:cs="宋体"/>
                <w:color w:val="auto"/>
                <w:kern w:val="0"/>
                <w:sz w:val="20"/>
                <w:szCs w:val="20"/>
              </w:rPr>
              <w:t>公开</w:t>
            </w:r>
            <w:r>
              <w:rPr>
                <w:rFonts w:ascii="宋体" w:hAnsi="宋体" w:cs="宋体"/>
                <w:color w:val="auto"/>
                <w:kern w:val="0"/>
                <w:sz w:val="20"/>
                <w:szCs w:val="20"/>
              </w:rPr>
              <w:t>03</w:t>
            </w:r>
            <w:r>
              <w:rPr>
                <w:rFonts w:hint="eastAsia" w:ascii="宋体" w:hAnsi="宋体" w:cs="宋体"/>
                <w:color w:val="auto"/>
                <w:kern w:val="0"/>
                <w:sz w:val="20"/>
                <w:szCs w:val="20"/>
              </w:rPr>
              <w:t>表</w:t>
            </w:r>
          </w:p>
        </w:tc>
      </w:tr>
      <w:tr>
        <w:tblPrEx>
          <w:tblCellMar>
            <w:top w:w="0" w:type="dxa"/>
            <w:left w:w="108" w:type="dxa"/>
            <w:bottom w:w="0" w:type="dxa"/>
            <w:right w:w="108" w:type="dxa"/>
          </w:tblCellMar>
        </w:tblPrEx>
        <w:trPr>
          <w:trHeight w:val="90" w:hRule="atLeast"/>
        </w:trPr>
        <w:tc>
          <w:tcPr>
            <w:tcW w:w="1042" w:type="dxa"/>
            <w:tcBorders>
              <w:top w:val="nil"/>
              <w:left w:val="nil"/>
              <w:bottom w:val="nil"/>
              <w:right w:val="nil"/>
            </w:tcBorders>
            <w:shd w:val="clear" w:color="000000" w:fill="FFFFFF"/>
            <w:noWrap/>
            <w:vAlign w:val="center"/>
          </w:tcPr>
          <w:p>
            <w:pPr>
              <w:widowControl/>
              <w:jc w:val="left"/>
              <w:rPr>
                <w:rFonts w:ascii="宋体" w:cs="宋体"/>
                <w:color w:val="auto"/>
                <w:kern w:val="0"/>
                <w:sz w:val="20"/>
                <w:szCs w:val="20"/>
              </w:rPr>
            </w:pPr>
            <w:r>
              <w:rPr>
                <w:rFonts w:hint="eastAsia" w:ascii="宋体" w:hAnsi="宋体" w:cs="宋体"/>
                <w:color w:val="auto"/>
                <w:kern w:val="0"/>
                <w:sz w:val="20"/>
                <w:szCs w:val="20"/>
              </w:rPr>
              <w:t>部门：</w:t>
            </w:r>
          </w:p>
        </w:tc>
        <w:tc>
          <w:tcPr>
            <w:tcW w:w="6180" w:type="dxa"/>
            <w:gridSpan w:val="4"/>
            <w:tcBorders>
              <w:top w:val="nil"/>
              <w:left w:val="nil"/>
              <w:bottom w:val="nil"/>
              <w:right w:val="nil"/>
            </w:tcBorders>
            <w:shd w:val="clear" w:color="000000" w:fill="FFFFFF"/>
            <w:noWrap/>
            <w:vAlign w:val="center"/>
          </w:tcPr>
          <w:p>
            <w:pPr>
              <w:widowControl/>
              <w:jc w:val="left"/>
              <w:rPr>
                <w:rFonts w:ascii="宋体" w:cs="宋体"/>
                <w:color w:val="auto"/>
                <w:kern w:val="0"/>
                <w:sz w:val="24"/>
                <w:szCs w:val="24"/>
              </w:rPr>
            </w:pPr>
            <w:r>
              <w:rPr>
                <w:rFonts w:hint="eastAsia" w:ascii="宋体" w:hAnsi="宋体" w:cs="宋体"/>
                <w:color w:val="auto"/>
                <w:kern w:val="0"/>
                <w:sz w:val="20"/>
                <w:szCs w:val="20"/>
              </w:rPr>
              <w:t>岳阳市市场监督管理局城陵矶新港区分局</w:t>
            </w:r>
            <w:r>
              <w:rPr>
                <w:rFonts w:hint="eastAsia" w:ascii="宋体" w:hAnsi="宋体" w:cs="宋体"/>
                <w:color w:val="auto"/>
                <w:kern w:val="0"/>
                <w:sz w:val="24"/>
                <w:szCs w:val="24"/>
              </w:rPr>
              <w:t>　　</w:t>
            </w:r>
          </w:p>
        </w:tc>
        <w:tc>
          <w:tcPr>
            <w:tcW w:w="1464" w:type="dxa"/>
            <w:tcBorders>
              <w:top w:val="nil"/>
              <w:left w:val="nil"/>
              <w:bottom w:val="nil"/>
              <w:right w:val="nil"/>
            </w:tcBorders>
            <w:shd w:val="clear" w:color="000000" w:fill="FFFFFF"/>
            <w:noWrap/>
            <w:vAlign w:val="center"/>
          </w:tcPr>
          <w:p>
            <w:pPr>
              <w:widowControl/>
              <w:jc w:val="center"/>
              <w:rPr>
                <w:rFonts w:ascii="宋体" w:cs="宋体"/>
                <w:color w:val="auto"/>
                <w:kern w:val="0"/>
                <w:sz w:val="20"/>
                <w:szCs w:val="20"/>
              </w:rPr>
            </w:pPr>
            <w:r>
              <w:rPr>
                <w:rFonts w:hint="eastAsia" w:ascii="宋体" w:hAnsi="宋体" w:cs="宋体"/>
                <w:color w:val="auto"/>
                <w:kern w:val="0"/>
                <w:sz w:val="20"/>
                <w:szCs w:val="20"/>
              </w:rPr>
              <w:t>　</w:t>
            </w:r>
          </w:p>
        </w:tc>
        <w:tc>
          <w:tcPr>
            <w:tcW w:w="1692" w:type="dxa"/>
            <w:tcBorders>
              <w:top w:val="nil"/>
              <w:left w:val="nil"/>
              <w:bottom w:val="nil"/>
              <w:right w:val="nil"/>
            </w:tcBorders>
            <w:shd w:val="clear" w:color="000000" w:fill="FFFFFF"/>
            <w:noWrap/>
            <w:vAlign w:val="center"/>
          </w:tcPr>
          <w:p>
            <w:pPr>
              <w:widowControl/>
              <w:jc w:val="right"/>
              <w:rPr>
                <w:rFonts w:ascii="宋体" w:cs="宋体"/>
                <w:color w:val="auto"/>
                <w:kern w:val="0"/>
                <w:sz w:val="24"/>
                <w:szCs w:val="24"/>
              </w:rPr>
            </w:pPr>
            <w:r>
              <w:rPr>
                <w:rFonts w:hint="eastAsia" w:ascii="宋体" w:hAnsi="宋体" w:cs="宋体"/>
                <w:color w:val="auto"/>
                <w:kern w:val="0"/>
                <w:sz w:val="24"/>
                <w:szCs w:val="24"/>
              </w:rPr>
              <w:t>　</w:t>
            </w:r>
          </w:p>
        </w:tc>
        <w:tc>
          <w:tcPr>
            <w:tcW w:w="1596" w:type="dxa"/>
            <w:tcBorders>
              <w:top w:val="nil"/>
              <w:left w:val="nil"/>
              <w:bottom w:val="nil"/>
              <w:right w:val="nil"/>
            </w:tcBorders>
            <w:shd w:val="clear" w:color="000000" w:fill="FFFFFF"/>
            <w:noWrap/>
            <w:vAlign w:val="center"/>
          </w:tcPr>
          <w:p>
            <w:pPr>
              <w:widowControl/>
              <w:jc w:val="right"/>
              <w:rPr>
                <w:rFonts w:ascii="宋体" w:cs="宋体"/>
                <w:color w:val="auto"/>
                <w:kern w:val="0"/>
                <w:sz w:val="24"/>
                <w:szCs w:val="24"/>
              </w:rPr>
            </w:pPr>
            <w:r>
              <w:rPr>
                <w:rFonts w:hint="eastAsia" w:ascii="宋体" w:hAnsi="宋体" w:cs="宋体"/>
                <w:color w:val="auto"/>
                <w:kern w:val="0"/>
                <w:sz w:val="24"/>
                <w:szCs w:val="24"/>
              </w:rPr>
              <w:t>　</w:t>
            </w:r>
          </w:p>
        </w:tc>
        <w:tc>
          <w:tcPr>
            <w:tcW w:w="2208" w:type="dxa"/>
            <w:tcBorders>
              <w:top w:val="nil"/>
              <w:left w:val="nil"/>
              <w:bottom w:val="nil"/>
              <w:right w:val="nil"/>
            </w:tcBorders>
            <w:shd w:val="clear" w:color="000000" w:fill="FFFFFF"/>
            <w:noWrap/>
            <w:vAlign w:val="center"/>
          </w:tcPr>
          <w:p>
            <w:pPr>
              <w:widowControl/>
              <w:jc w:val="right"/>
              <w:rPr>
                <w:rFonts w:ascii="宋体" w:cs="宋体"/>
                <w:color w:val="auto"/>
                <w:kern w:val="0"/>
                <w:sz w:val="20"/>
                <w:szCs w:val="20"/>
              </w:rPr>
            </w:pPr>
            <w:r>
              <w:rPr>
                <w:rFonts w:hint="eastAsia" w:ascii="宋体" w:hAnsi="宋体" w:cs="宋体"/>
                <w:color w:val="auto"/>
                <w:kern w:val="0"/>
                <w:sz w:val="20"/>
                <w:szCs w:val="20"/>
              </w:rPr>
              <w:t>单位：万元</w:t>
            </w:r>
          </w:p>
        </w:tc>
      </w:tr>
      <w:tr>
        <w:trPr>
          <w:trHeight w:val="450" w:hRule="atLeast"/>
        </w:trPr>
        <w:tc>
          <w:tcPr>
            <w:tcW w:w="406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项</w:t>
            </w:r>
            <w:r>
              <w:rPr>
                <w:rFonts w:ascii="宋体" w:hAnsi="宋体" w:cs="宋体"/>
                <w:color w:val="auto"/>
                <w:kern w:val="0"/>
                <w:sz w:val="24"/>
                <w:szCs w:val="24"/>
              </w:rPr>
              <w:t xml:space="preserve">    </w:t>
            </w:r>
            <w:r>
              <w:rPr>
                <w:rFonts w:hint="eastAsia" w:ascii="宋体" w:hAnsi="宋体" w:cs="宋体"/>
                <w:color w:val="auto"/>
                <w:kern w:val="0"/>
                <w:sz w:val="24"/>
                <w:szCs w:val="24"/>
              </w:rPr>
              <w:t>目</w:t>
            </w:r>
          </w:p>
        </w:tc>
        <w:tc>
          <w:tcPr>
            <w:tcW w:w="16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本年支出合计</w:t>
            </w:r>
          </w:p>
        </w:tc>
        <w:tc>
          <w:tcPr>
            <w:tcW w:w="154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基本支出</w:t>
            </w:r>
          </w:p>
        </w:tc>
        <w:tc>
          <w:tcPr>
            <w:tcW w:w="146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项目支出</w:t>
            </w:r>
          </w:p>
        </w:tc>
        <w:tc>
          <w:tcPr>
            <w:tcW w:w="16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上缴上级支出</w:t>
            </w:r>
          </w:p>
        </w:tc>
        <w:tc>
          <w:tcPr>
            <w:tcW w:w="159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经营支出</w:t>
            </w:r>
          </w:p>
        </w:tc>
        <w:tc>
          <w:tcPr>
            <w:tcW w:w="22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对附属单位补助支出</w:t>
            </w:r>
          </w:p>
        </w:tc>
      </w:tr>
      <w:tr>
        <w:tblPrEx>
          <w:tblCellMar>
            <w:top w:w="0" w:type="dxa"/>
            <w:left w:w="108" w:type="dxa"/>
            <w:bottom w:w="0" w:type="dxa"/>
            <w:right w:w="108" w:type="dxa"/>
          </w:tblCellMar>
        </w:tblPrEx>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功能分类科目编码</w:t>
            </w:r>
          </w:p>
        </w:tc>
        <w:tc>
          <w:tcPr>
            <w:tcW w:w="280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科目名称</w:t>
            </w:r>
          </w:p>
        </w:tc>
        <w:tc>
          <w:tcPr>
            <w:tcW w:w="16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auto"/>
                <w:kern w:val="0"/>
                <w:sz w:val="24"/>
                <w:szCs w:val="24"/>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auto"/>
                <w:kern w:val="0"/>
                <w:sz w:val="24"/>
                <w:szCs w:val="24"/>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auto"/>
                <w:kern w:val="0"/>
                <w:sz w:val="24"/>
                <w:szCs w:val="24"/>
              </w:rPr>
            </w:pPr>
          </w:p>
        </w:tc>
        <w:tc>
          <w:tcPr>
            <w:tcW w:w="16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auto"/>
                <w:kern w:val="0"/>
                <w:sz w:val="24"/>
                <w:szCs w:val="24"/>
              </w:rPr>
            </w:pPr>
          </w:p>
        </w:tc>
        <w:tc>
          <w:tcPr>
            <w:tcW w:w="15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auto"/>
                <w:kern w:val="0"/>
                <w:sz w:val="24"/>
                <w:szCs w:val="24"/>
              </w:rPr>
            </w:pPr>
          </w:p>
        </w:tc>
        <w:tc>
          <w:tcPr>
            <w:tcW w:w="22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auto"/>
                <w:kern w:val="0"/>
                <w:sz w:val="24"/>
                <w:szCs w:val="24"/>
              </w:rPr>
            </w:pPr>
          </w:p>
        </w:tc>
      </w:tr>
      <w:tr>
        <w:trPr>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auto"/>
                <w:kern w:val="0"/>
                <w:sz w:val="24"/>
                <w:szCs w:val="24"/>
              </w:rPr>
            </w:pPr>
          </w:p>
        </w:tc>
        <w:tc>
          <w:tcPr>
            <w:tcW w:w="28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auto"/>
                <w:kern w:val="0"/>
                <w:sz w:val="24"/>
                <w:szCs w:val="24"/>
              </w:rPr>
            </w:pPr>
          </w:p>
        </w:tc>
        <w:tc>
          <w:tcPr>
            <w:tcW w:w="16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auto"/>
                <w:kern w:val="0"/>
                <w:sz w:val="24"/>
                <w:szCs w:val="24"/>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auto"/>
                <w:kern w:val="0"/>
                <w:sz w:val="24"/>
                <w:szCs w:val="24"/>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auto"/>
                <w:kern w:val="0"/>
                <w:sz w:val="24"/>
                <w:szCs w:val="24"/>
              </w:rPr>
            </w:pPr>
          </w:p>
        </w:tc>
        <w:tc>
          <w:tcPr>
            <w:tcW w:w="16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auto"/>
                <w:kern w:val="0"/>
                <w:sz w:val="24"/>
                <w:szCs w:val="24"/>
              </w:rPr>
            </w:pPr>
          </w:p>
        </w:tc>
        <w:tc>
          <w:tcPr>
            <w:tcW w:w="15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auto"/>
                <w:kern w:val="0"/>
                <w:sz w:val="24"/>
                <w:szCs w:val="24"/>
              </w:rPr>
            </w:pPr>
          </w:p>
        </w:tc>
        <w:tc>
          <w:tcPr>
            <w:tcW w:w="22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auto"/>
                <w:kern w:val="0"/>
                <w:sz w:val="24"/>
                <w:szCs w:val="24"/>
              </w:rPr>
            </w:pPr>
          </w:p>
        </w:tc>
      </w:tr>
      <w:tr>
        <w:tblPrEx>
          <w:tblCellMar>
            <w:top w:w="0" w:type="dxa"/>
            <w:left w:w="108" w:type="dxa"/>
            <w:bottom w:w="0" w:type="dxa"/>
            <w:right w:w="108" w:type="dxa"/>
          </w:tblCellMar>
        </w:tblPrEx>
        <w:trPr>
          <w:trHeight w:val="450" w:hRule="atLeast"/>
        </w:trPr>
        <w:tc>
          <w:tcPr>
            <w:tcW w:w="406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栏次</w:t>
            </w:r>
          </w:p>
        </w:tc>
        <w:tc>
          <w:tcPr>
            <w:tcW w:w="16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4"/>
                <w:szCs w:val="24"/>
              </w:rPr>
            </w:pPr>
            <w:r>
              <w:rPr>
                <w:rFonts w:ascii="宋体" w:hAnsi="宋体" w:cs="宋体"/>
                <w:color w:val="auto"/>
                <w:kern w:val="0"/>
                <w:sz w:val="24"/>
                <w:szCs w:val="24"/>
              </w:rPr>
              <w:t>1</w:t>
            </w:r>
          </w:p>
        </w:tc>
        <w:tc>
          <w:tcPr>
            <w:tcW w:w="154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4"/>
                <w:szCs w:val="24"/>
              </w:rPr>
            </w:pPr>
            <w:r>
              <w:rPr>
                <w:rFonts w:ascii="宋体" w:hAnsi="宋体" w:cs="宋体"/>
                <w:color w:val="auto"/>
                <w:kern w:val="0"/>
                <w:sz w:val="24"/>
                <w:szCs w:val="24"/>
              </w:rPr>
              <w:t>2</w:t>
            </w:r>
          </w:p>
        </w:tc>
        <w:tc>
          <w:tcPr>
            <w:tcW w:w="146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4"/>
                <w:szCs w:val="24"/>
              </w:rPr>
            </w:pPr>
            <w:r>
              <w:rPr>
                <w:rFonts w:ascii="宋体" w:hAnsi="宋体" w:cs="宋体"/>
                <w:color w:val="auto"/>
                <w:kern w:val="0"/>
                <w:sz w:val="24"/>
                <w:szCs w:val="24"/>
              </w:rPr>
              <w:t>3</w:t>
            </w:r>
          </w:p>
        </w:tc>
        <w:tc>
          <w:tcPr>
            <w:tcW w:w="16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4"/>
                <w:szCs w:val="24"/>
              </w:rPr>
            </w:pPr>
            <w:r>
              <w:rPr>
                <w:rFonts w:ascii="宋体" w:hAnsi="宋体" w:cs="宋体"/>
                <w:color w:val="auto"/>
                <w:kern w:val="0"/>
                <w:sz w:val="24"/>
                <w:szCs w:val="24"/>
              </w:rPr>
              <w:t>4</w:t>
            </w:r>
          </w:p>
        </w:tc>
        <w:tc>
          <w:tcPr>
            <w:tcW w:w="159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4"/>
                <w:szCs w:val="24"/>
              </w:rPr>
            </w:pPr>
            <w:r>
              <w:rPr>
                <w:rFonts w:ascii="宋体" w:hAnsi="宋体" w:cs="宋体"/>
                <w:color w:val="auto"/>
                <w:kern w:val="0"/>
                <w:sz w:val="24"/>
                <w:szCs w:val="24"/>
              </w:rPr>
              <w:t>5</w:t>
            </w:r>
          </w:p>
        </w:tc>
        <w:tc>
          <w:tcPr>
            <w:tcW w:w="22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4"/>
                <w:szCs w:val="24"/>
              </w:rPr>
            </w:pPr>
            <w:r>
              <w:rPr>
                <w:rFonts w:ascii="宋体" w:hAnsi="宋体" w:cs="宋体"/>
                <w:color w:val="auto"/>
                <w:kern w:val="0"/>
                <w:sz w:val="24"/>
                <w:szCs w:val="24"/>
              </w:rPr>
              <w:t>6</w:t>
            </w:r>
          </w:p>
        </w:tc>
      </w:tr>
      <w:tr>
        <w:trPr>
          <w:trHeight w:val="283" w:hRule="atLeast"/>
        </w:trPr>
        <w:tc>
          <w:tcPr>
            <w:tcW w:w="406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合计</w:t>
            </w:r>
          </w:p>
        </w:tc>
        <w:tc>
          <w:tcPr>
            <w:tcW w:w="160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216.57</w:t>
            </w:r>
          </w:p>
        </w:tc>
        <w:tc>
          <w:tcPr>
            <w:tcW w:w="154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127.02</w:t>
            </w:r>
          </w:p>
        </w:tc>
        <w:tc>
          <w:tcPr>
            <w:tcW w:w="1464"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89.55</w:t>
            </w:r>
          </w:p>
        </w:tc>
        <w:tc>
          <w:tcPr>
            <w:tcW w:w="1692"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1596"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220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r>
      <w:tr>
        <w:tblPrEx>
          <w:tblCellMar>
            <w:top w:w="0" w:type="dxa"/>
            <w:left w:w="108" w:type="dxa"/>
            <w:bottom w:w="0" w:type="dxa"/>
            <w:right w:w="108" w:type="dxa"/>
          </w:tblCellMar>
        </w:tblPrEx>
        <w:trPr>
          <w:trHeight w:val="283"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cs="宋体"/>
                <w:color w:val="auto"/>
                <w:kern w:val="0"/>
                <w:sz w:val="24"/>
                <w:szCs w:val="24"/>
              </w:rPr>
            </w:pPr>
            <w:r>
              <w:rPr>
                <w:color w:val="auto"/>
              </w:rPr>
              <w:t>201</w:t>
            </w:r>
          </w:p>
        </w:tc>
        <w:tc>
          <w:tcPr>
            <w:tcW w:w="2802" w:type="dxa"/>
            <w:tcBorders>
              <w:top w:val="nil"/>
              <w:left w:val="nil"/>
              <w:bottom w:val="single" w:color="auto" w:sz="4" w:space="0"/>
              <w:right w:val="single" w:color="auto" w:sz="4" w:space="0"/>
            </w:tcBorders>
            <w:shd w:val="clear" w:color="000000" w:fill="FFFFFF"/>
            <w:noWrap/>
            <w:vAlign w:val="center"/>
          </w:tcPr>
          <w:p>
            <w:pPr>
              <w:widowControl/>
              <w:rPr>
                <w:rFonts w:ascii="宋体" w:cs="宋体"/>
                <w:color w:val="auto"/>
                <w:kern w:val="0"/>
                <w:sz w:val="24"/>
                <w:szCs w:val="24"/>
              </w:rPr>
            </w:pPr>
            <w:r>
              <w:rPr>
                <w:rFonts w:hint="eastAsia"/>
                <w:color w:val="auto"/>
              </w:rPr>
              <w:t>一般公共服务支出</w:t>
            </w:r>
          </w:p>
        </w:tc>
        <w:tc>
          <w:tcPr>
            <w:tcW w:w="160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199.72</w:t>
            </w:r>
          </w:p>
        </w:tc>
        <w:tc>
          <w:tcPr>
            <w:tcW w:w="154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110.17</w:t>
            </w:r>
          </w:p>
        </w:tc>
        <w:tc>
          <w:tcPr>
            <w:tcW w:w="1464" w:type="dxa"/>
            <w:tcBorders>
              <w:top w:val="nil"/>
              <w:left w:val="nil"/>
              <w:bottom w:val="single" w:color="auto" w:sz="4" w:space="0"/>
              <w:right w:val="single" w:color="auto" w:sz="4" w:space="0"/>
            </w:tcBorders>
            <w:noWrap/>
            <w:vAlign w:val="center"/>
          </w:tcPr>
          <w:p>
            <w:pPr>
              <w:widowControl/>
              <w:ind w:firstLine="440" w:firstLineChars="200"/>
              <w:rPr>
                <w:rFonts w:ascii="宋体" w:cs="宋体"/>
                <w:color w:val="auto"/>
                <w:kern w:val="0"/>
                <w:sz w:val="22"/>
              </w:rPr>
            </w:pPr>
            <w:r>
              <w:rPr>
                <w:rFonts w:ascii="宋体" w:hAnsi="宋体" w:cs="宋体"/>
                <w:color w:val="auto"/>
                <w:kern w:val="0"/>
                <w:sz w:val="22"/>
              </w:rPr>
              <w:t>89.55</w:t>
            </w:r>
          </w:p>
        </w:tc>
        <w:tc>
          <w:tcPr>
            <w:tcW w:w="1692"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1596"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220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r>
      <w:tr>
        <w:trPr>
          <w:trHeight w:val="283"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cs="宋体"/>
                <w:color w:val="auto"/>
                <w:kern w:val="0"/>
                <w:sz w:val="24"/>
                <w:szCs w:val="24"/>
              </w:rPr>
            </w:pPr>
            <w:r>
              <w:rPr>
                <w:color w:val="auto"/>
              </w:rPr>
              <w:t>20114</w:t>
            </w:r>
          </w:p>
        </w:tc>
        <w:tc>
          <w:tcPr>
            <w:tcW w:w="2802" w:type="dxa"/>
            <w:tcBorders>
              <w:top w:val="nil"/>
              <w:left w:val="nil"/>
              <w:bottom w:val="single" w:color="auto" w:sz="4" w:space="0"/>
              <w:right w:val="single" w:color="auto" w:sz="4" w:space="0"/>
            </w:tcBorders>
            <w:shd w:val="clear" w:color="000000" w:fill="FFFFFF"/>
            <w:noWrap/>
            <w:vAlign w:val="center"/>
          </w:tcPr>
          <w:p>
            <w:pPr>
              <w:widowControl/>
              <w:rPr>
                <w:rFonts w:ascii="宋体" w:cs="宋体"/>
                <w:color w:val="auto"/>
                <w:kern w:val="0"/>
                <w:sz w:val="24"/>
                <w:szCs w:val="24"/>
              </w:rPr>
            </w:pPr>
            <w:r>
              <w:rPr>
                <w:rFonts w:hint="eastAsia"/>
                <w:color w:val="auto"/>
              </w:rPr>
              <w:t>知识产权事务</w:t>
            </w:r>
          </w:p>
        </w:tc>
        <w:tc>
          <w:tcPr>
            <w:tcW w:w="160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11.63</w:t>
            </w:r>
          </w:p>
        </w:tc>
        <w:tc>
          <w:tcPr>
            <w:tcW w:w="154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1464"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11.63</w:t>
            </w:r>
          </w:p>
        </w:tc>
        <w:tc>
          <w:tcPr>
            <w:tcW w:w="1692"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1596"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220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r>
      <w:tr>
        <w:tblPrEx>
          <w:tblCellMar>
            <w:top w:w="0" w:type="dxa"/>
            <w:left w:w="108" w:type="dxa"/>
            <w:bottom w:w="0" w:type="dxa"/>
            <w:right w:w="108" w:type="dxa"/>
          </w:tblCellMar>
        </w:tblPrEx>
        <w:trPr>
          <w:trHeight w:val="283"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cs="宋体"/>
                <w:color w:val="auto"/>
                <w:kern w:val="0"/>
                <w:sz w:val="24"/>
                <w:szCs w:val="24"/>
              </w:rPr>
            </w:pPr>
            <w:r>
              <w:rPr>
                <w:color w:val="auto"/>
              </w:rPr>
              <w:t>2011405</w:t>
            </w:r>
          </w:p>
        </w:tc>
        <w:tc>
          <w:tcPr>
            <w:tcW w:w="2802" w:type="dxa"/>
            <w:tcBorders>
              <w:top w:val="nil"/>
              <w:left w:val="nil"/>
              <w:bottom w:val="single" w:color="auto" w:sz="4" w:space="0"/>
              <w:right w:val="single" w:color="auto" w:sz="4" w:space="0"/>
            </w:tcBorders>
            <w:shd w:val="clear" w:color="000000" w:fill="FFFFFF"/>
            <w:noWrap/>
            <w:vAlign w:val="center"/>
          </w:tcPr>
          <w:p>
            <w:pPr>
              <w:widowControl/>
              <w:rPr>
                <w:rFonts w:ascii="宋体" w:cs="宋体"/>
                <w:color w:val="auto"/>
                <w:kern w:val="0"/>
                <w:sz w:val="24"/>
                <w:szCs w:val="24"/>
              </w:rPr>
            </w:pPr>
            <w:r>
              <w:rPr>
                <w:rFonts w:hint="eastAsia"/>
                <w:color w:val="auto"/>
              </w:rPr>
              <w:t>国家知识产权战略</w:t>
            </w:r>
          </w:p>
        </w:tc>
        <w:tc>
          <w:tcPr>
            <w:tcW w:w="160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11.63</w:t>
            </w:r>
          </w:p>
        </w:tc>
        <w:tc>
          <w:tcPr>
            <w:tcW w:w="154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1464"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11.63</w:t>
            </w:r>
          </w:p>
        </w:tc>
        <w:tc>
          <w:tcPr>
            <w:tcW w:w="1692"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1596"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220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r>
      <w:tr>
        <w:trPr>
          <w:trHeight w:val="283"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cs="宋体"/>
                <w:color w:val="auto"/>
                <w:kern w:val="0"/>
                <w:sz w:val="24"/>
                <w:szCs w:val="24"/>
              </w:rPr>
            </w:pPr>
            <w:r>
              <w:rPr>
                <w:color w:val="auto"/>
              </w:rPr>
              <w:t>20138</w:t>
            </w:r>
          </w:p>
        </w:tc>
        <w:tc>
          <w:tcPr>
            <w:tcW w:w="2802" w:type="dxa"/>
            <w:tcBorders>
              <w:top w:val="nil"/>
              <w:left w:val="nil"/>
              <w:bottom w:val="single" w:color="auto" w:sz="4" w:space="0"/>
              <w:right w:val="single" w:color="auto" w:sz="4" w:space="0"/>
            </w:tcBorders>
            <w:shd w:val="clear" w:color="000000" w:fill="FFFFFF"/>
            <w:noWrap/>
            <w:vAlign w:val="center"/>
          </w:tcPr>
          <w:p>
            <w:pPr>
              <w:widowControl/>
              <w:rPr>
                <w:rFonts w:ascii="宋体" w:cs="宋体"/>
                <w:color w:val="auto"/>
                <w:kern w:val="0"/>
                <w:sz w:val="24"/>
                <w:szCs w:val="24"/>
              </w:rPr>
            </w:pPr>
            <w:r>
              <w:rPr>
                <w:rFonts w:hint="eastAsia"/>
                <w:color w:val="auto"/>
              </w:rPr>
              <w:t>市场监督管理事务</w:t>
            </w:r>
          </w:p>
        </w:tc>
        <w:tc>
          <w:tcPr>
            <w:tcW w:w="160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188.09</w:t>
            </w:r>
          </w:p>
        </w:tc>
        <w:tc>
          <w:tcPr>
            <w:tcW w:w="154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110.17</w:t>
            </w:r>
          </w:p>
        </w:tc>
        <w:tc>
          <w:tcPr>
            <w:tcW w:w="1464"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77.92</w:t>
            </w:r>
          </w:p>
        </w:tc>
        <w:tc>
          <w:tcPr>
            <w:tcW w:w="1692"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1596"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220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r>
      <w:tr>
        <w:tblPrEx>
          <w:tblCellMar>
            <w:top w:w="0" w:type="dxa"/>
            <w:left w:w="108" w:type="dxa"/>
            <w:bottom w:w="0" w:type="dxa"/>
            <w:right w:w="108" w:type="dxa"/>
          </w:tblCellMar>
        </w:tblPrEx>
        <w:trPr>
          <w:trHeight w:val="283"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cs="宋体"/>
                <w:color w:val="auto"/>
                <w:kern w:val="0"/>
                <w:sz w:val="24"/>
                <w:szCs w:val="24"/>
              </w:rPr>
            </w:pPr>
            <w:r>
              <w:rPr>
                <w:color w:val="auto"/>
              </w:rPr>
              <w:t>2013801</w:t>
            </w:r>
          </w:p>
        </w:tc>
        <w:tc>
          <w:tcPr>
            <w:tcW w:w="2802" w:type="dxa"/>
            <w:tcBorders>
              <w:top w:val="nil"/>
              <w:left w:val="nil"/>
              <w:bottom w:val="single" w:color="auto" w:sz="4" w:space="0"/>
              <w:right w:val="single" w:color="auto" w:sz="4" w:space="0"/>
            </w:tcBorders>
            <w:shd w:val="clear" w:color="000000" w:fill="FFFFFF"/>
            <w:noWrap/>
            <w:vAlign w:val="center"/>
          </w:tcPr>
          <w:p>
            <w:pPr>
              <w:widowControl/>
              <w:rPr>
                <w:rFonts w:ascii="宋体" w:cs="宋体"/>
                <w:color w:val="auto"/>
                <w:kern w:val="0"/>
                <w:sz w:val="24"/>
                <w:szCs w:val="24"/>
              </w:rPr>
            </w:pPr>
            <w:r>
              <w:rPr>
                <w:rFonts w:hint="eastAsia"/>
                <w:color w:val="auto"/>
              </w:rPr>
              <w:t>行政运行</w:t>
            </w:r>
          </w:p>
        </w:tc>
        <w:tc>
          <w:tcPr>
            <w:tcW w:w="160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103.40</w:t>
            </w:r>
          </w:p>
        </w:tc>
        <w:tc>
          <w:tcPr>
            <w:tcW w:w="154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103.40</w:t>
            </w:r>
          </w:p>
        </w:tc>
        <w:tc>
          <w:tcPr>
            <w:tcW w:w="1464"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1692"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1596"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220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r>
      <w:tr>
        <w:trPr>
          <w:trHeight w:val="283"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cs="宋体"/>
                <w:color w:val="auto"/>
                <w:kern w:val="0"/>
                <w:sz w:val="24"/>
                <w:szCs w:val="24"/>
              </w:rPr>
            </w:pPr>
            <w:r>
              <w:rPr>
                <w:color w:val="auto"/>
              </w:rPr>
              <w:t>2013802</w:t>
            </w:r>
          </w:p>
        </w:tc>
        <w:tc>
          <w:tcPr>
            <w:tcW w:w="2802" w:type="dxa"/>
            <w:tcBorders>
              <w:top w:val="nil"/>
              <w:left w:val="nil"/>
              <w:bottom w:val="single" w:color="auto" w:sz="4" w:space="0"/>
              <w:right w:val="single" w:color="auto" w:sz="4" w:space="0"/>
            </w:tcBorders>
            <w:shd w:val="clear" w:color="000000" w:fill="FFFFFF"/>
            <w:noWrap/>
            <w:vAlign w:val="center"/>
          </w:tcPr>
          <w:p>
            <w:pPr>
              <w:widowControl/>
              <w:rPr>
                <w:rFonts w:ascii="宋体" w:cs="宋体"/>
                <w:color w:val="auto"/>
                <w:kern w:val="0"/>
                <w:sz w:val="24"/>
                <w:szCs w:val="24"/>
              </w:rPr>
            </w:pPr>
            <w:r>
              <w:rPr>
                <w:rFonts w:hint="eastAsia"/>
                <w:color w:val="auto"/>
              </w:rPr>
              <w:t>一般行政管理事务</w:t>
            </w:r>
          </w:p>
        </w:tc>
        <w:tc>
          <w:tcPr>
            <w:tcW w:w="160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77.92</w:t>
            </w:r>
          </w:p>
        </w:tc>
        <w:tc>
          <w:tcPr>
            <w:tcW w:w="154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1464"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77.92</w:t>
            </w:r>
          </w:p>
        </w:tc>
        <w:tc>
          <w:tcPr>
            <w:tcW w:w="1692"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1596"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220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r>
      <w:tr>
        <w:tblPrEx>
          <w:tblCellMar>
            <w:top w:w="0" w:type="dxa"/>
            <w:left w:w="108" w:type="dxa"/>
            <w:bottom w:w="0" w:type="dxa"/>
            <w:right w:w="108" w:type="dxa"/>
          </w:tblCellMar>
        </w:tblPrEx>
        <w:trPr>
          <w:trHeight w:val="283"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color w:val="auto"/>
              </w:rPr>
            </w:pPr>
            <w:r>
              <w:rPr>
                <w:color w:val="auto"/>
              </w:rPr>
              <w:t>2013899</w:t>
            </w:r>
          </w:p>
        </w:tc>
        <w:tc>
          <w:tcPr>
            <w:tcW w:w="2802" w:type="dxa"/>
            <w:tcBorders>
              <w:top w:val="nil"/>
              <w:left w:val="nil"/>
              <w:bottom w:val="single" w:color="auto" w:sz="4" w:space="0"/>
              <w:right w:val="single" w:color="auto" w:sz="4" w:space="0"/>
            </w:tcBorders>
            <w:shd w:val="clear" w:color="000000" w:fill="FFFFFF"/>
            <w:noWrap/>
            <w:vAlign w:val="center"/>
          </w:tcPr>
          <w:p>
            <w:pPr>
              <w:widowControl/>
              <w:rPr>
                <w:rFonts w:ascii="宋体" w:cs="宋体"/>
                <w:color w:val="auto"/>
                <w:kern w:val="0"/>
                <w:sz w:val="24"/>
                <w:szCs w:val="24"/>
              </w:rPr>
            </w:pPr>
            <w:r>
              <w:rPr>
                <w:rFonts w:hint="eastAsia"/>
                <w:color w:val="auto"/>
              </w:rPr>
              <w:t>其他市场监督管理事务</w:t>
            </w:r>
          </w:p>
        </w:tc>
        <w:tc>
          <w:tcPr>
            <w:tcW w:w="160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6.77</w:t>
            </w:r>
          </w:p>
        </w:tc>
        <w:tc>
          <w:tcPr>
            <w:tcW w:w="154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6.77</w:t>
            </w:r>
          </w:p>
        </w:tc>
        <w:tc>
          <w:tcPr>
            <w:tcW w:w="1464"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1692"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1596"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220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r>
      <w:tr>
        <w:trPr>
          <w:trHeight w:val="283"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color w:val="auto"/>
              </w:rPr>
            </w:pPr>
            <w:r>
              <w:rPr>
                <w:color w:val="auto"/>
              </w:rPr>
              <w:t>208</w:t>
            </w:r>
          </w:p>
        </w:tc>
        <w:tc>
          <w:tcPr>
            <w:tcW w:w="2802" w:type="dxa"/>
            <w:tcBorders>
              <w:top w:val="nil"/>
              <w:left w:val="nil"/>
              <w:bottom w:val="single" w:color="auto" w:sz="4" w:space="0"/>
              <w:right w:val="single" w:color="auto" w:sz="4" w:space="0"/>
            </w:tcBorders>
            <w:shd w:val="clear" w:color="000000" w:fill="FFFFFF"/>
            <w:noWrap/>
            <w:vAlign w:val="center"/>
          </w:tcPr>
          <w:p>
            <w:pPr>
              <w:widowControl/>
              <w:rPr>
                <w:rFonts w:ascii="宋体" w:cs="宋体"/>
                <w:color w:val="auto"/>
                <w:kern w:val="0"/>
                <w:sz w:val="24"/>
                <w:szCs w:val="24"/>
              </w:rPr>
            </w:pPr>
            <w:r>
              <w:rPr>
                <w:rFonts w:hint="eastAsia"/>
                <w:color w:val="auto"/>
              </w:rPr>
              <w:t>社会保障和就业支出</w:t>
            </w:r>
          </w:p>
        </w:tc>
        <w:tc>
          <w:tcPr>
            <w:tcW w:w="160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11.52</w:t>
            </w:r>
          </w:p>
        </w:tc>
        <w:tc>
          <w:tcPr>
            <w:tcW w:w="154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11.52</w:t>
            </w:r>
          </w:p>
        </w:tc>
        <w:tc>
          <w:tcPr>
            <w:tcW w:w="1464"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1692"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1596"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220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r>
      <w:tr>
        <w:tblPrEx>
          <w:tblCellMar>
            <w:top w:w="0" w:type="dxa"/>
            <w:left w:w="108" w:type="dxa"/>
            <w:bottom w:w="0" w:type="dxa"/>
            <w:right w:w="108" w:type="dxa"/>
          </w:tblCellMar>
        </w:tblPrEx>
        <w:trPr>
          <w:trHeight w:val="283"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color w:val="auto"/>
              </w:rPr>
            </w:pPr>
            <w:r>
              <w:rPr>
                <w:color w:val="auto"/>
              </w:rPr>
              <w:t>20805</w:t>
            </w:r>
          </w:p>
        </w:tc>
        <w:tc>
          <w:tcPr>
            <w:tcW w:w="2802" w:type="dxa"/>
            <w:tcBorders>
              <w:top w:val="nil"/>
              <w:left w:val="nil"/>
              <w:bottom w:val="single" w:color="auto" w:sz="4" w:space="0"/>
              <w:right w:val="single" w:color="auto" w:sz="4" w:space="0"/>
            </w:tcBorders>
            <w:shd w:val="clear" w:color="000000" w:fill="FFFFFF"/>
            <w:noWrap/>
            <w:vAlign w:val="center"/>
          </w:tcPr>
          <w:p>
            <w:pPr>
              <w:widowControl/>
              <w:rPr>
                <w:rFonts w:ascii="宋体" w:cs="宋体"/>
                <w:color w:val="auto"/>
                <w:kern w:val="0"/>
                <w:sz w:val="24"/>
                <w:szCs w:val="24"/>
              </w:rPr>
            </w:pPr>
            <w:r>
              <w:rPr>
                <w:rFonts w:hint="eastAsia"/>
                <w:color w:val="auto"/>
              </w:rPr>
              <w:t>行政事业单位养老支出</w:t>
            </w:r>
          </w:p>
        </w:tc>
        <w:tc>
          <w:tcPr>
            <w:tcW w:w="160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11.52</w:t>
            </w:r>
          </w:p>
        </w:tc>
        <w:tc>
          <w:tcPr>
            <w:tcW w:w="154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11.52</w:t>
            </w:r>
          </w:p>
        </w:tc>
        <w:tc>
          <w:tcPr>
            <w:tcW w:w="1464"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1692"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1596"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220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r>
      <w:tr>
        <w:trPr>
          <w:trHeight w:val="283"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color w:val="auto"/>
              </w:rPr>
            </w:pPr>
            <w:r>
              <w:rPr>
                <w:color w:val="auto"/>
              </w:rPr>
              <w:t>2080505</w:t>
            </w:r>
          </w:p>
        </w:tc>
        <w:tc>
          <w:tcPr>
            <w:tcW w:w="2802" w:type="dxa"/>
            <w:tcBorders>
              <w:top w:val="nil"/>
              <w:left w:val="nil"/>
              <w:bottom w:val="single" w:color="auto" w:sz="4" w:space="0"/>
              <w:right w:val="single" w:color="auto" w:sz="4" w:space="0"/>
            </w:tcBorders>
            <w:shd w:val="clear" w:color="000000" w:fill="FFFFFF"/>
            <w:noWrap/>
            <w:vAlign w:val="center"/>
          </w:tcPr>
          <w:p>
            <w:pPr>
              <w:widowControl/>
              <w:rPr>
                <w:rFonts w:ascii="宋体" w:cs="宋体"/>
                <w:color w:val="auto"/>
                <w:kern w:val="0"/>
                <w:sz w:val="24"/>
                <w:szCs w:val="24"/>
              </w:rPr>
            </w:pPr>
            <w:r>
              <w:rPr>
                <w:rFonts w:hint="eastAsia"/>
                <w:color w:val="auto"/>
              </w:rPr>
              <w:t>机关事业单位基本养老保险缴费支出</w:t>
            </w:r>
          </w:p>
        </w:tc>
        <w:tc>
          <w:tcPr>
            <w:tcW w:w="160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11.52</w:t>
            </w:r>
          </w:p>
        </w:tc>
        <w:tc>
          <w:tcPr>
            <w:tcW w:w="154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11.52</w:t>
            </w:r>
          </w:p>
        </w:tc>
        <w:tc>
          <w:tcPr>
            <w:tcW w:w="1464"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1692"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1596"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220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r>
      <w:tr>
        <w:tblPrEx>
          <w:tblCellMar>
            <w:top w:w="0" w:type="dxa"/>
            <w:left w:w="108" w:type="dxa"/>
            <w:bottom w:w="0" w:type="dxa"/>
            <w:right w:w="108" w:type="dxa"/>
          </w:tblCellMar>
        </w:tblPrEx>
        <w:trPr>
          <w:trHeight w:val="283"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color w:val="auto"/>
              </w:rPr>
            </w:pPr>
            <w:r>
              <w:rPr>
                <w:color w:val="auto"/>
              </w:rPr>
              <w:t>210</w:t>
            </w:r>
          </w:p>
        </w:tc>
        <w:tc>
          <w:tcPr>
            <w:tcW w:w="2802" w:type="dxa"/>
            <w:tcBorders>
              <w:top w:val="nil"/>
              <w:left w:val="nil"/>
              <w:bottom w:val="single" w:color="auto" w:sz="4" w:space="0"/>
              <w:right w:val="single" w:color="auto" w:sz="4" w:space="0"/>
            </w:tcBorders>
            <w:shd w:val="clear" w:color="000000" w:fill="FFFFFF"/>
            <w:noWrap/>
            <w:vAlign w:val="center"/>
          </w:tcPr>
          <w:p>
            <w:pPr>
              <w:widowControl/>
              <w:rPr>
                <w:rFonts w:ascii="宋体" w:cs="宋体"/>
                <w:color w:val="auto"/>
                <w:kern w:val="0"/>
                <w:sz w:val="24"/>
                <w:szCs w:val="24"/>
              </w:rPr>
            </w:pPr>
            <w:r>
              <w:rPr>
                <w:rFonts w:hint="eastAsia"/>
                <w:color w:val="auto"/>
              </w:rPr>
              <w:t>卫生健康支出</w:t>
            </w:r>
          </w:p>
        </w:tc>
        <w:tc>
          <w:tcPr>
            <w:tcW w:w="160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5.33</w:t>
            </w:r>
          </w:p>
        </w:tc>
        <w:tc>
          <w:tcPr>
            <w:tcW w:w="154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5.33</w:t>
            </w:r>
          </w:p>
        </w:tc>
        <w:tc>
          <w:tcPr>
            <w:tcW w:w="1464"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1692"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1596"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220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r>
      <w:tr>
        <w:trPr>
          <w:trHeight w:val="283"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color w:val="auto"/>
              </w:rPr>
            </w:pPr>
            <w:r>
              <w:rPr>
                <w:color w:val="auto"/>
              </w:rPr>
              <w:t>21011</w:t>
            </w:r>
          </w:p>
        </w:tc>
        <w:tc>
          <w:tcPr>
            <w:tcW w:w="2802" w:type="dxa"/>
            <w:tcBorders>
              <w:top w:val="nil"/>
              <w:left w:val="nil"/>
              <w:bottom w:val="single" w:color="auto" w:sz="4" w:space="0"/>
              <w:right w:val="single" w:color="auto" w:sz="4" w:space="0"/>
            </w:tcBorders>
            <w:shd w:val="clear" w:color="000000" w:fill="FFFFFF"/>
            <w:noWrap/>
            <w:vAlign w:val="center"/>
          </w:tcPr>
          <w:p>
            <w:pPr>
              <w:widowControl/>
              <w:rPr>
                <w:rFonts w:ascii="宋体" w:cs="宋体"/>
                <w:color w:val="auto"/>
                <w:kern w:val="0"/>
                <w:sz w:val="24"/>
                <w:szCs w:val="24"/>
              </w:rPr>
            </w:pPr>
            <w:r>
              <w:rPr>
                <w:rFonts w:hint="eastAsia"/>
                <w:color w:val="auto"/>
              </w:rPr>
              <w:t>行政事业单位医疗</w:t>
            </w:r>
          </w:p>
        </w:tc>
        <w:tc>
          <w:tcPr>
            <w:tcW w:w="160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5.33</w:t>
            </w:r>
          </w:p>
        </w:tc>
        <w:tc>
          <w:tcPr>
            <w:tcW w:w="154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5.33</w:t>
            </w:r>
          </w:p>
        </w:tc>
        <w:tc>
          <w:tcPr>
            <w:tcW w:w="1464"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1692"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1596"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220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r>
      <w:tr>
        <w:tblPrEx>
          <w:tblCellMar>
            <w:top w:w="0" w:type="dxa"/>
            <w:left w:w="108" w:type="dxa"/>
            <w:bottom w:w="0" w:type="dxa"/>
            <w:right w:w="108" w:type="dxa"/>
          </w:tblCellMar>
        </w:tblPrEx>
        <w:trPr>
          <w:trHeight w:val="283"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color w:val="auto"/>
              </w:rPr>
            </w:pPr>
            <w:r>
              <w:rPr>
                <w:color w:val="auto"/>
              </w:rPr>
              <w:t>2101101</w:t>
            </w:r>
          </w:p>
        </w:tc>
        <w:tc>
          <w:tcPr>
            <w:tcW w:w="2802" w:type="dxa"/>
            <w:tcBorders>
              <w:top w:val="nil"/>
              <w:left w:val="nil"/>
              <w:bottom w:val="single" w:color="auto" w:sz="4" w:space="0"/>
              <w:right w:val="single" w:color="auto" w:sz="4" w:space="0"/>
            </w:tcBorders>
            <w:shd w:val="clear" w:color="000000" w:fill="FFFFFF"/>
            <w:noWrap/>
            <w:vAlign w:val="center"/>
          </w:tcPr>
          <w:p>
            <w:pPr>
              <w:widowControl/>
              <w:rPr>
                <w:rFonts w:ascii="宋体" w:cs="宋体"/>
                <w:color w:val="auto"/>
                <w:kern w:val="0"/>
                <w:sz w:val="24"/>
                <w:szCs w:val="24"/>
              </w:rPr>
            </w:pPr>
            <w:r>
              <w:rPr>
                <w:rFonts w:hint="eastAsia"/>
                <w:color w:val="auto"/>
              </w:rPr>
              <w:t>行政单位医疗</w:t>
            </w:r>
          </w:p>
        </w:tc>
        <w:tc>
          <w:tcPr>
            <w:tcW w:w="160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5.33</w:t>
            </w:r>
          </w:p>
        </w:tc>
        <w:tc>
          <w:tcPr>
            <w:tcW w:w="154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5.33</w:t>
            </w:r>
          </w:p>
        </w:tc>
        <w:tc>
          <w:tcPr>
            <w:tcW w:w="1464"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1692"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1596"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220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r>
      <w:tr>
        <w:trPr>
          <w:trHeight w:val="630" w:hRule="atLeast"/>
        </w:trPr>
        <w:tc>
          <w:tcPr>
            <w:tcW w:w="14182" w:type="dxa"/>
            <w:gridSpan w:val="9"/>
            <w:tcBorders>
              <w:top w:val="nil"/>
              <w:left w:val="nil"/>
              <w:bottom w:val="nil"/>
              <w:right w:val="nil"/>
            </w:tcBorders>
            <w:vAlign w:val="center"/>
          </w:tcPr>
          <w:p>
            <w:pPr>
              <w:widowControl/>
              <w:jc w:val="left"/>
              <w:rPr>
                <w:rFonts w:ascii="宋体" w:cs="宋体"/>
                <w:color w:val="auto"/>
                <w:kern w:val="0"/>
                <w:sz w:val="24"/>
                <w:szCs w:val="24"/>
              </w:rPr>
            </w:pPr>
            <w:r>
              <w:rPr>
                <w:rFonts w:hint="eastAsia" w:ascii="宋体" w:hAnsi="宋体" w:cs="宋体"/>
                <w:color w:val="auto"/>
                <w:kern w:val="0"/>
                <w:sz w:val="24"/>
                <w:szCs w:val="24"/>
              </w:rPr>
              <w:t>注：本表反映部门本年度各项支出情况。</w:t>
            </w:r>
          </w:p>
        </w:tc>
      </w:tr>
    </w:tbl>
    <w:p>
      <w:pPr>
        <w:widowControl/>
        <w:ind w:left="93"/>
        <w:jc w:val="center"/>
        <w:rPr>
          <w:rFonts w:ascii="Times New Roman" w:hAnsi="Times New Roman" w:eastAsia="方正小标宋_GBK"/>
          <w:color w:val="auto"/>
          <w:kern w:val="0"/>
          <w:sz w:val="36"/>
          <w:szCs w:val="21"/>
        </w:rPr>
      </w:pPr>
    </w:p>
    <w:p>
      <w:pPr>
        <w:widowControl/>
        <w:ind w:left="93"/>
        <w:jc w:val="center"/>
        <w:rPr>
          <w:rFonts w:ascii="Times New Roman" w:hAnsi="Times New Roman" w:eastAsia="方正小标宋_GBK"/>
          <w:color w:val="auto"/>
          <w:kern w:val="0"/>
          <w:sz w:val="36"/>
          <w:szCs w:val="21"/>
        </w:rPr>
      </w:pPr>
    </w:p>
    <w:p>
      <w:pPr>
        <w:widowControl/>
        <w:ind w:left="93"/>
        <w:jc w:val="center"/>
        <w:rPr>
          <w:rFonts w:ascii="Times New Roman" w:hAnsi="Times New Roman" w:eastAsia="方正小标宋_GBK"/>
          <w:color w:val="auto"/>
          <w:kern w:val="0"/>
          <w:sz w:val="36"/>
          <w:szCs w:val="21"/>
        </w:rPr>
      </w:pPr>
    </w:p>
    <w:p>
      <w:pPr>
        <w:widowControl/>
        <w:ind w:left="93"/>
        <w:jc w:val="center"/>
        <w:rPr>
          <w:rFonts w:ascii="Times New Roman" w:hAnsi="Times New Roman" w:eastAsia="方正小标宋_GBK"/>
          <w:color w:val="auto"/>
          <w:kern w:val="0"/>
          <w:sz w:val="36"/>
          <w:szCs w:val="21"/>
        </w:rPr>
      </w:pPr>
    </w:p>
    <w:tbl>
      <w:tblPr>
        <w:tblStyle w:val="7"/>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noWrap/>
            <w:vAlign w:val="center"/>
          </w:tcPr>
          <w:p>
            <w:pPr>
              <w:widowControl/>
              <w:jc w:val="left"/>
              <w:rPr>
                <w:rFonts w:ascii="黑体" w:hAnsi="黑体" w:eastAsia="黑体" w:cs="宋体"/>
                <w:color w:val="auto"/>
                <w:kern w:val="0"/>
                <w:sz w:val="24"/>
                <w:szCs w:val="24"/>
              </w:rPr>
            </w:pPr>
            <w:bookmarkStart w:id="0" w:name="RANGE!A1:I22"/>
            <w:bookmarkEnd w:id="0"/>
            <w:bookmarkStart w:id="1" w:name="RANGE!A1:F16"/>
            <w:bookmarkEnd w:id="1"/>
          </w:p>
        </w:tc>
        <w:tc>
          <w:tcPr>
            <w:tcW w:w="436" w:type="dxa"/>
            <w:tcBorders>
              <w:top w:val="nil"/>
              <w:left w:val="nil"/>
              <w:bottom w:val="nil"/>
              <w:right w:val="nil"/>
            </w:tcBorders>
            <w:noWrap/>
            <w:vAlign w:val="center"/>
          </w:tcPr>
          <w:p>
            <w:pPr>
              <w:widowControl/>
              <w:jc w:val="right"/>
              <w:rPr>
                <w:rFonts w:ascii="宋体" w:cs="宋体"/>
                <w:color w:val="auto"/>
                <w:kern w:val="0"/>
                <w:sz w:val="24"/>
                <w:szCs w:val="24"/>
              </w:rPr>
            </w:pPr>
          </w:p>
        </w:tc>
        <w:tc>
          <w:tcPr>
            <w:tcW w:w="1574" w:type="dxa"/>
            <w:gridSpan w:val="2"/>
            <w:tcBorders>
              <w:top w:val="nil"/>
              <w:left w:val="nil"/>
              <w:bottom w:val="nil"/>
              <w:right w:val="nil"/>
            </w:tcBorders>
            <w:noWrap/>
            <w:vAlign w:val="center"/>
          </w:tcPr>
          <w:p>
            <w:pPr>
              <w:widowControl/>
              <w:jc w:val="right"/>
              <w:rPr>
                <w:rFonts w:ascii="宋体" w:cs="宋体"/>
                <w:color w:val="auto"/>
                <w:kern w:val="0"/>
                <w:sz w:val="24"/>
                <w:szCs w:val="24"/>
              </w:rPr>
            </w:pPr>
          </w:p>
        </w:tc>
        <w:tc>
          <w:tcPr>
            <w:tcW w:w="3547" w:type="dxa"/>
            <w:gridSpan w:val="2"/>
            <w:tcBorders>
              <w:top w:val="nil"/>
              <w:left w:val="nil"/>
              <w:bottom w:val="nil"/>
              <w:right w:val="nil"/>
            </w:tcBorders>
            <w:noWrap/>
            <w:vAlign w:val="center"/>
          </w:tcPr>
          <w:p>
            <w:pPr>
              <w:widowControl/>
              <w:jc w:val="right"/>
              <w:rPr>
                <w:rFonts w:ascii="宋体" w:cs="宋体"/>
                <w:color w:val="auto"/>
                <w:kern w:val="0"/>
                <w:sz w:val="24"/>
                <w:szCs w:val="24"/>
              </w:rPr>
            </w:pPr>
          </w:p>
        </w:tc>
        <w:tc>
          <w:tcPr>
            <w:tcW w:w="435" w:type="dxa"/>
            <w:tcBorders>
              <w:top w:val="nil"/>
              <w:left w:val="nil"/>
              <w:bottom w:val="nil"/>
              <w:right w:val="nil"/>
            </w:tcBorders>
            <w:noWrap/>
            <w:vAlign w:val="center"/>
          </w:tcPr>
          <w:p>
            <w:pPr>
              <w:widowControl/>
              <w:jc w:val="right"/>
              <w:rPr>
                <w:rFonts w:ascii="宋体" w:cs="宋体"/>
                <w:color w:val="auto"/>
                <w:kern w:val="0"/>
                <w:sz w:val="24"/>
                <w:szCs w:val="24"/>
              </w:rPr>
            </w:pPr>
          </w:p>
        </w:tc>
        <w:tc>
          <w:tcPr>
            <w:tcW w:w="1573" w:type="dxa"/>
            <w:tcBorders>
              <w:top w:val="nil"/>
              <w:left w:val="nil"/>
              <w:bottom w:val="nil"/>
              <w:right w:val="nil"/>
            </w:tcBorders>
            <w:noWrap/>
            <w:vAlign w:val="center"/>
          </w:tcPr>
          <w:p>
            <w:pPr>
              <w:widowControl/>
              <w:jc w:val="right"/>
              <w:rPr>
                <w:rFonts w:ascii="宋体" w:cs="宋体"/>
                <w:color w:val="auto"/>
                <w:kern w:val="0"/>
                <w:sz w:val="24"/>
                <w:szCs w:val="24"/>
              </w:rPr>
            </w:pPr>
          </w:p>
        </w:tc>
        <w:tc>
          <w:tcPr>
            <w:tcW w:w="1394" w:type="dxa"/>
            <w:tcBorders>
              <w:top w:val="nil"/>
              <w:left w:val="nil"/>
              <w:bottom w:val="nil"/>
              <w:right w:val="nil"/>
            </w:tcBorders>
            <w:noWrap/>
            <w:vAlign w:val="center"/>
          </w:tcPr>
          <w:p>
            <w:pPr>
              <w:widowControl/>
              <w:jc w:val="right"/>
              <w:rPr>
                <w:rFonts w:ascii="宋体" w:cs="宋体"/>
                <w:color w:val="auto"/>
                <w:kern w:val="0"/>
                <w:sz w:val="24"/>
                <w:szCs w:val="24"/>
              </w:rPr>
            </w:pPr>
          </w:p>
        </w:tc>
        <w:tc>
          <w:tcPr>
            <w:tcW w:w="1394" w:type="dxa"/>
            <w:tcBorders>
              <w:top w:val="nil"/>
              <w:left w:val="nil"/>
              <w:bottom w:val="nil"/>
              <w:right w:val="nil"/>
            </w:tcBorders>
            <w:noWrap/>
            <w:vAlign w:val="center"/>
          </w:tcPr>
          <w:p>
            <w:pPr>
              <w:widowControl/>
              <w:jc w:val="right"/>
              <w:rPr>
                <w:rFonts w:ascii="宋体" w:cs="宋体"/>
                <w:color w:val="auto"/>
                <w:kern w:val="0"/>
                <w:sz w:val="24"/>
                <w:szCs w:val="24"/>
              </w:rPr>
            </w:pPr>
          </w:p>
        </w:tc>
        <w:tc>
          <w:tcPr>
            <w:tcW w:w="1573" w:type="dxa"/>
            <w:tcBorders>
              <w:top w:val="nil"/>
              <w:left w:val="nil"/>
              <w:bottom w:val="nil"/>
              <w:right w:val="nil"/>
            </w:tcBorders>
            <w:noWrap/>
            <w:vAlign w:val="center"/>
          </w:tcPr>
          <w:p>
            <w:pPr>
              <w:widowControl/>
              <w:jc w:val="right"/>
              <w:rPr>
                <w:rFonts w:ascii="宋体" w:cs="宋体"/>
                <w:color w:val="auto"/>
                <w:kern w:val="0"/>
                <w:sz w:val="24"/>
                <w:szCs w:val="24"/>
              </w:rPr>
            </w:pPr>
          </w:p>
        </w:tc>
      </w:tr>
      <w:tr>
        <w:trPr>
          <w:trHeight w:val="360" w:hRule="atLeast"/>
        </w:trPr>
        <w:tc>
          <w:tcPr>
            <w:tcW w:w="15521" w:type="dxa"/>
            <w:gridSpan w:val="11"/>
            <w:tcBorders>
              <w:top w:val="nil"/>
              <w:left w:val="nil"/>
              <w:bottom w:val="nil"/>
              <w:right w:val="nil"/>
            </w:tcBorders>
            <w:noWrap/>
            <w:vAlign w:val="center"/>
          </w:tcPr>
          <w:p>
            <w:pPr>
              <w:widowControl/>
              <w:jc w:val="center"/>
              <w:rPr>
                <w:rFonts w:ascii="华文中宋" w:hAnsi="华文中宋" w:eastAsia="华文中宋" w:cs="宋体"/>
                <w:color w:val="auto"/>
                <w:kern w:val="0"/>
                <w:sz w:val="32"/>
                <w:szCs w:val="32"/>
              </w:rPr>
            </w:pPr>
            <w:r>
              <w:rPr>
                <w:rFonts w:hint="eastAsia" w:ascii="华文中宋" w:hAnsi="华文中宋" w:eastAsia="华文中宋" w:cs="宋体"/>
                <w:color w:val="auto"/>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cs="宋体"/>
                <w:color w:val="auto"/>
                <w:kern w:val="0"/>
                <w:sz w:val="24"/>
                <w:szCs w:val="24"/>
              </w:rPr>
            </w:pPr>
            <w:r>
              <w:rPr>
                <w:rFonts w:hint="eastAsia" w:ascii="宋体" w:hAnsi="宋体" w:cs="宋体"/>
                <w:color w:val="auto"/>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cs="宋体"/>
                <w:color w:val="auto"/>
                <w:kern w:val="0"/>
                <w:sz w:val="24"/>
                <w:szCs w:val="24"/>
              </w:rPr>
            </w:pPr>
            <w:r>
              <w:rPr>
                <w:rFonts w:hint="eastAsia" w:ascii="宋体" w:hAnsi="宋体" w:cs="宋体"/>
                <w:color w:val="auto"/>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cs="宋体"/>
                <w:color w:val="auto"/>
                <w:kern w:val="0"/>
                <w:sz w:val="24"/>
                <w:szCs w:val="24"/>
              </w:rPr>
            </w:pPr>
            <w:r>
              <w:rPr>
                <w:rFonts w:hint="eastAsia" w:ascii="宋体" w:hAnsi="宋体" w:cs="宋体"/>
                <w:color w:val="auto"/>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cs="宋体"/>
                <w:color w:val="auto"/>
                <w:kern w:val="0"/>
                <w:sz w:val="24"/>
                <w:szCs w:val="24"/>
              </w:rPr>
            </w:pPr>
            <w:r>
              <w:rPr>
                <w:rFonts w:hint="eastAsia" w:ascii="宋体" w:hAnsi="宋体" w:cs="宋体"/>
                <w:color w:val="auto"/>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cs="宋体"/>
                <w:color w:val="auto"/>
                <w:kern w:val="0"/>
                <w:sz w:val="24"/>
                <w:szCs w:val="24"/>
              </w:rPr>
            </w:pPr>
            <w:r>
              <w:rPr>
                <w:rFonts w:hint="eastAsia" w:ascii="宋体" w:hAnsi="宋体" w:cs="宋体"/>
                <w:color w:val="auto"/>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cs="宋体"/>
                <w:color w:val="auto"/>
                <w:kern w:val="0"/>
                <w:sz w:val="24"/>
                <w:szCs w:val="24"/>
              </w:rPr>
            </w:pPr>
            <w:r>
              <w:rPr>
                <w:rFonts w:hint="eastAsia" w:ascii="宋体" w:hAnsi="宋体" w:cs="宋体"/>
                <w:color w:val="auto"/>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cs="宋体"/>
                <w:color w:val="auto"/>
                <w:kern w:val="0"/>
                <w:sz w:val="24"/>
                <w:szCs w:val="24"/>
              </w:rPr>
            </w:pPr>
            <w:r>
              <w:rPr>
                <w:rFonts w:hint="eastAsia" w:ascii="宋体" w:hAnsi="宋体" w:cs="宋体"/>
                <w:color w:val="auto"/>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cs="宋体"/>
                <w:color w:val="auto"/>
                <w:kern w:val="0"/>
                <w:sz w:val="24"/>
                <w:szCs w:val="24"/>
              </w:rPr>
            </w:pPr>
            <w:r>
              <w:rPr>
                <w:rFonts w:hint="eastAsia" w:ascii="宋体" w:hAnsi="宋体" w:cs="宋体"/>
                <w:color w:val="auto"/>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cs="宋体"/>
                <w:color w:val="auto"/>
                <w:kern w:val="0"/>
                <w:sz w:val="20"/>
                <w:szCs w:val="20"/>
              </w:rPr>
            </w:pPr>
            <w:r>
              <w:rPr>
                <w:rFonts w:hint="eastAsia" w:ascii="宋体" w:hAnsi="宋体" w:cs="宋体"/>
                <w:color w:val="auto"/>
                <w:kern w:val="0"/>
                <w:sz w:val="20"/>
                <w:szCs w:val="20"/>
              </w:rPr>
              <w:t>公开</w:t>
            </w:r>
            <w:r>
              <w:rPr>
                <w:rFonts w:ascii="宋体" w:hAnsi="宋体" w:cs="宋体"/>
                <w:color w:val="auto"/>
                <w:kern w:val="0"/>
                <w:sz w:val="20"/>
                <w:szCs w:val="20"/>
              </w:rPr>
              <w:t>04</w:t>
            </w:r>
            <w:r>
              <w:rPr>
                <w:rFonts w:hint="eastAsia" w:ascii="宋体" w:hAnsi="宋体" w:cs="宋体"/>
                <w:color w:val="auto"/>
                <w:kern w:val="0"/>
                <w:sz w:val="20"/>
                <w:szCs w:val="20"/>
              </w:rPr>
              <w:t>表</w:t>
            </w:r>
          </w:p>
        </w:tc>
      </w:tr>
      <w:tr>
        <w:trPr>
          <w:trHeight w:val="336" w:hRule="atLeast"/>
        </w:trPr>
        <w:tc>
          <w:tcPr>
            <w:tcW w:w="5109" w:type="dxa"/>
            <w:gridSpan w:val="3"/>
            <w:tcBorders>
              <w:top w:val="nil"/>
              <w:left w:val="nil"/>
              <w:bottom w:val="nil"/>
              <w:right w:val="nil"/>
            </w:tcBorders>
            <w:shd w:val="clear" w:color="000000" w:fill="FFFFFF"/>
            <w:noWrap/>
            <w:vAlign w:val="center"/>
          </w:tcPr>
          <w:p>
            <w:pPr>
              <w:widowControl/>
              <w:jc w:val="left"/>
              <w:rPr>
                <w:rFonts w:ascii="宋体" w:cs="宋体"/>
                <w:color w:val="auto"/>
                <w:kern w:val="0"/>
                <w:sz w:val="24"/>
                <w:szCs w:val="24"/>
              </w:rPr>
            </w:pPr>
            <w:r>
              <w:rPr>
                <w:rFonts w:hint="eastAsia" w:ascii="宋体" w:hAnsi="宋体" w:cs="宋体"/>
                <w:color w:val="auto"/>
                <w:kern w:val="0"/>
                <w:sz w:val="20"/>
                <w:szCs w:val="20"/>
              </w:rPr>
              <w:t>部门：岳阳市市场监督管理局城陵矶新港区分局</w:t>
            </w:r>
            <w:r>
              <w:rPr>
                <w:rFonts w:hint="eastAsia" w:ascii="宋体" w:hAnsi="宋体" w:cs="宋体"/>
                <w:color w:val="auto"/>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cs="宋体"/>
                <w:color w:val="auto"/>
                <w:kern w:val="0"/>
                <w:sz w:val="24"/>
                <w:szCs w:val="24"/>
              </w:rPr>
            </w:pPr>
            <w:r>
              <w:rPr>
                <w:rFonts w:hint="eastAsia" w:ascii="宋体" w:hAnsi="宋体" w:cs="宋体"/>
                <w:color w:val="auto"/>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cs="宋体"/>
                <w:color w:val="auto"/>
                <w:kern w:val="0"/>
                <w:sz w:val="24"/>
                <w:szCs w:val="24"/>
              </w:rPr>
            </w:pPr>
            <w:r>
              <w:rPr>
                <w:rFonts w:hint="eastAsia" w:ascii="宋体" w:hAnsi="宋体" w:cs="宋体"/>
                <w:color w:val="auto"/>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cs="宋体"/>
                <w:color w:val="auto"/>
                <w:kern w:val="0"/>
                <w:sz w:val="24"/>
                <w:szCs w:val="24"/>
              </w:rPr>
            </w:pPr>
            <w:r>
              <w:rPr>
                <w:rFonts w:hint="eastAsia" w:ascii="宋体" w:hAnsi="宋体" w:cs="宋体"/>
                <w:color w:val="auto"/>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cs="宋体"/>
                <w:color w:val="auto"/>
                <w:kern w:val="0"/>
                <w:sz w:val="24"/>
                <w:szCs w:val="24"/>
              </w:rPr>
            </w:pPr>
            <w:r>
              <w:rPr>
                <w:rFonts w:hint="eastAsia" w:ascii="宋体" w:hAnsi="宋体" w:cs="宋体"/>
                <w:color w:val="auto"/>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cs="宋体"/>
                <w:color w:val="auto"/>
                <w:kern w:val="0"/>
                <w:sz w:val="24"/>
                <w:szCs w:val="24"/>
              </w:rPr>
            </w:pPr>
            <w:r>
              <w:rPr>
                <w:rFonts w:hint="eastAsia" w:ascii="宋体" w:hAnsi="宋体" w:cs="宋体"/>
                <w:color w:val="auto"/>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cs="宋体"/>
                <w:color w:val="auto"/>
                <w:kern w:val="0"/>
                <w:sz w:val="20"/>
                <w:szCs w:val="20"/>
              </w:rPr>
            </w:pPr>
            <w:r>
              <w:rPr>
                <w:rFonts w:hint="eastAsia" w:ascii="宋体" w:hAnsi="宋体" w:cs="宋体"/>
                <w:color w:val="auto"/>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支出</w:t>
            </w:r>
          </w:p>
        </w:tc>
      </w:tr>
      <w:tr>
        <w:trPr>
          <w:trHeight w:val="630" w:hRule="atLeast"/>
        </w:trPr>
        <w:tc>
          <w:tcPr>
            <w:tcW w:w="3595"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项</w:t>
            </w:r>
            <w:r>
              <w:rPr>
                <w:rFonts w:ascii="宋体" w:hAnsi="宋体" w:cs="宋体"/>
                <w:color w:val="auto"/>
                <w:kern w:val="0"/>
                <w:sz w:val="24"/>
                <w:szCs w:val="24"/>
              </w:rPr>
              <w:t xml:space="preserve">    </w:t>
            </w:r>
            <w:r>
              <w:rPr>
                <w:rFonts w:hint="eastAsia" w:ascii="宋体" w:hAnsi="宋体" w:cs="宋体"/>
                <w:color w:val="auto"/>
                <w:kern w:val="0"/>
                <w:sz w:val="24"/>
                <w:szCs w:val="24"/>
              </w:rPr>
              <w:t>目</w:t>
            </w:r>
          </w:p>
        </w:tc>
        <w:tc>
          <w:tcPr>
            <w:tcW w:w="436"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0"/>
                <w:szCs w:val="20"/>
              </w:rPr>
            </w:pPr>
            <w:r>
              <w:rPr>
                <w:rFonts w:hint="eastAsia" w:ascii="宋体" w:hAnsi="宋体" w:cs="宋体"/>
                <w:color w:val="auto"/>
                <w:kern w:val="0"/>
                <w:sz w:val="20"/>
                <w:szCs w:val="20"/>
              </w:rPr>
              <w:t>行次</w:t>
            </w:r>
          </w:p>
        </w:tc>
        <w:tc>
          <w:tcPr>
            <w:tcW w:w="107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金额</w:t>
            </w:r>
          </w:p>
        </w:tc>
        <w:tc>
          <w:tcPr>
            <w:tcW w:w="3411" w:type="dxa"/>
            <w:gridSpan w:val="2"/>
            <w:tcBorders>
              <w:top w:val="nil"/>
              <w:left w:val="nil"/>
              <w:bottom w:val="single" w:color="auto" w:sz="4" w:space="0"/>
              <w:right w:val="single" w:color="auto" w:sz="4" w:space="0"/>
            </w:tcBorders>
            <w:noWrap/>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项</w:t>
            </w:r>
            <w:r>
              <w:rPr>
                <w:rFonts w:ascii="宋体" w:hAnsi="宋体" w:cs="宋体"/>
                <w:color w:val="auto"/>
                <w:kern w:val="0"/>
                <w:sz w:val="24"/>
                <w:szCs w:val="24"/>
              </w:rPr>
              <w:t xml:space="preserve">    </w:t>
            </w:r>
            <w:r>
              <w:rPr>
                <w:rFonts w:hint="eastAsia" w:ascii="宋体" w:hAnsi="宋体" w:cs="宋体"/>
                <w:color w:val="auto"/>
                <w:kern w:val="0"/>
                <w:sz w:val="24"/>
                <w:szCs w:val="24"/>
              </w:rPr>
              <w:t>目</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cs="宋体"/>
                <w:color w:val="auto"/>
                <w:kern w:val="0"/>
                <w:sz w:val="20"/>
                <w:szCs w:val="20"/>
              </w:rPr>
            </w:pPr>
            <w:r>
              <w:rPr>
                <w:rFonts w:hint="eastAsia" w:ascii="宋体" w:hAnsi="宋体" w:cs="宋体"/>
                <w:color w:val="auto"/>
                <w:kern w:val="0"/>
                <w:sz w:val="20"/>
                <w:szCs w:val="20"/>
              </w:rPr>
              <w:t>行次</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合计</w:t>
            </w:r>
          </w:p>
        </w:tc>
        <w:tc>
          <w:tcPr>
            <w:tcW w:w="1394"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一般公共预算财政拨款</w:t>
            </w:r>
          </w:p>
        </w:tc>
        <w:tc>
          <w:tcPr>
            <w:tcW w:w="1394"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政府性基金预算财政拨款</w:t>
            </w:r>
          </w:p>
        </w:tc>
        <w:tc>
          <w:tcPr>
            <w:tcW w:w="1573"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国有资本经营预算财政拨款</w:t>
            </w:r>
          </w:p>
        </w:tc>
      </w:tr>
      <w:tr>
        <w:tblPrEx>
          <w:tblCellMar>
            <w:top w:w="0" w:type="dxa"/>
            <w:left w:w="108" w:type="dxa"/>
            <w:bottom w:w="0" w:type="dxa"/>
            <w:right w:w="108" w:type="dxa"/>
          </w:tblCellMar>
        </w:tblPrEx>
        <w:trPr>
          <w:trHeight w:val="340"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auto"/>
                <w:kern w:val="0"/>
                <w:sz w:val="24"/>
                <w:szCs w:val="24"/>
              </w:rPr>
            </w:pPr>
            <w:r>
              <w:rPr>
                <w:rFonts w:hint="eastAsia" w:ascii="宋体" w:hAnsi="宋体" w:cs="宋体"/>
                <w:color w:val="auto"/>
                <w:kern w:val="0"/>
                <w:sz w:val="24"/>
                <w:szCs w:val="24"/>
              </w:rPr>
              <w:t>栏</w:t>
            </w:r>
            <w:r>
              <w:rPr>
                <w:rFonts w:ascii="宋体" w:hAnsi="宋体" w:cs="宋体"/>
                <w:color w:val="auto"/>
                <w:kern w:val="0"/>
                <w:sz w:val="24"/>
                <w:szCs w:val="24"/>
              </w:rPr>
              <w:t xml:space="preserve">    </w:t>
            </w:r>
            <w:r>
              <w:rPr>
                <w:rFonts w:hint="eastAsia" w:ascii="宋体" w:hAnsi="宋体" w:cs="宋体"/>
                <w:color w:val="auto"/>
                <w:kern w:val="0"/>
                <w:sz w:val="24"/>
                <w:szCs w:val="24"/>
              </w:rPr>
              <w:t>次</w:t>
            </w:r>
          </w:p>
        </w:tc>
        <w:tc>
          <w:tcPr>
            <w:tcW w:w="436"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　</w:t>
            </w:r>
          </w:p>
        </w:tc>
        <w:tc>
          <w:tcPr>
            <w:tcW w:w="107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4"/>
                <w:szCs w:val="24"/>
              </w:rPr>
            </w:pPr>
            <w:r>
              <w:rPr>
                <w:rFonts w:ascii="宋体" w:hAnsi="宋体" w:cs="宋体"/>
                <w:color w:val="auto"/>
                <w:kern w:val="0"/>
                <w:sz w:val="24"/>
                <w:szCs w:val="24"/>
              </w:rPr>
              <w:t>1</w:t>
            </w:r>
          </w:p>
        </w:tc>
        <w:tc>
          <w:tcPr>
            <w:tcW w:w="3411" w:type="dxa"/>
            <w:gridSpan w:val="2"/>
            <w:tcBorders>
              <w:top w:val="nil"/>
              <w:left w:val="nil"/>
              <w:bottom w:val="single" w:color="auto" w:sz="4" w:space="0"/>
              <w:right w:val="single" w:color="auto" w:sz="4" w:space="0"/>
            </w:tcBorders>
            <w:noWrap/>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栏</w:t>
            </w:r>
            <w:r>
              <w:rPr>
                <w:rFonts w:ascii="宋体" w:hAnsi="宋体" w:cs="宋体"/>
                <w:color w:val="auto"/>
                <w:kern w:val="0"/>
                <w:sz w:val="24"/>
                <w:szCs w:val="24"/>
              </w:rPr>
              <w:t xml:space="preserve">    </w:t>
            </w:r>
            <w:r>
              <w:rPr>
                <w:rFonts w:hint="eastAsia" w:ascii="宋体" w:hAnsi="宋体" w:cs="宋体"/>
                <w:color w:val="auto"/>
                <w:kern w:val="0"/>
                <w:sz w:val="24"/>
                <w:szCs w:val="24"/>
              </w:rPr>
              <w:t>次</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　</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4"/>
                <w:szCs w:val="24"/>
              </w:rPr>
            </w:pPr>
            <w:r>
              <w:rPr>
                <w:rFonts w:ascii="宋体" w:hAnsi="宋体" w:cs="宋体"/>
                <w:color w:val="auto"/>
                <w:kern w:val="0"/>
                <w:sz w:val="24"/>
                <w:szCs w:val="24"/>
              </w:rPr>
              <w:t>2</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4"/>
                <w:szCs w:val="24"/>
              </w:rPr>
            </w:pPr>
            <w:r>
              <w:rPr>
                <w:rFonts w:ascii="宋体" w:hAnsi="宋体" w:cs="宋体"/>
                <w:color w:val="auto"/>
                <w:kern w:val="0"/>
                <w:sz w:val="24"/>
                <w:szCs w:val="24"/>
              </w:rPr>
              <w:t>3</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4"/>
                <w:szCs w:val="24"/>
              </w:rPr>
            </w:pPr>
            <w:r>
              <w:rPr>
                <w:rFonts w:ascii="宋体" w:hAnsi="宋体" w:cs="宋体"/>
                <w:color w:val="auto"/>
                <w:kern w:val="0"/>
                <w:sz w:val="24"/>
                <w:szCs w:val="24"/>
              </w:rPr>
              <w:t>4</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4"/>
                <w:szCs w:val="24"/>
              </w:rPr>
            </w:pPr>
            <w:r>
              <w:rPr>
                <w:rFonts w:ascii="宋体" w:hAnsi="宋体" w:cs="宋体"/>
                <w:color w:val="auto"/>
                <w:kern w:val="0"/>
                <w:sz w:val="24"/>
                <w:szCs w:val="24"/>
              </w:rPr>
              <w:t>5</w:t>
            </w:r>
          </w:p>
        </w:tc>
      </w:tr>
      <w:tr>
        <w:trPr>
          <w:trHeight w:val="340"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auto"/>
                <w:kern w:val="0"/>
                <w:sz w:val="22"/>
              </w:rPr>
            </w:pPr>
            <w:r>
              <w:rPr>
                <w:rFonts w:hint="eastAsia" w:ascii="宋体" w:hAnsi="宋体" w:cs="宋体"/>
                <w:color w:val="auto"/>
                <w:kern w:val="0"/>
                <w:sz w:val="22"/>
              </w:rPr>
              <w:t>一、一般公共预算财政拨款</w:t>
            </w:r>
          </w:p>
        </w:tc>
        <w:tc>
          <w:tcPr>
            <w:tcW w:w="436"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1</w:t>
            </w:r>
          </w:p>
        </w:tc>
        <w:tc>
          <w:tcPr>
            <w:tcW w:w="107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265.70</w:t>
            </w:r>
          </w:p>
        </w:tc>
        <w:tc>
          <w:tcPr>
            <w:tcW w:w="3411" w:type="dxa"/>
            <w:gridSpan w:val="2"/>
            <w:tcBorders>
              <w:top w:val="nil"/>
              <w:left w:val="nil"/>
              <w:bottom w:val="single" w:color="auto" w:sz="4" w:space="0"/>
              <w:right w:val="single" w:color="auto" w:sz="4" w:space="0"/>
            </w:tcBorders>
            <w:noWrap/>
            <w:vAlign w:val="center"/>
          </w:tcPr>
          <w:p>
            <w:pPr>
              <w:widowControl/>
              <w:jc w:val="left"/>
              <w:rPr>
                <w:rFonts w:ascii="宋体" w:cs="宋体"/>
                <w:color w:val="auto"/>
                <w:kern w:val="0"/>
                <w:sz w:val="22"/>
              </w:rPr>
            </w:pPr>
            <w:r>
              <w:rPr>
                <w:rFonts w:hint="eastAsia" w:ascii="宋体" w:hAnsi="宋体" w:cs="宋体"/>
                <w:color w:val="auto"/>
                <w:kern w:val="0"/>
                <w:sz w:val="22"/>
              </w:rPr>
              <w:t>一、一般公共服务支出</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15</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192.95</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192.95</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r>
      <w:tr>
        <w:tblPrEx>
          <w:tblCellMar>
            <w:top w:w="0" w:type="dxa"/>
            <w:left w:w="108" w:type="dxa"/>
            <w:bottom w:w="0" w:type="dxa"/>
            <w:right w:w="108" w:type="dxa"/>
          </w:tblCellMar>
        </w:tblPrEx>
        <w:trPr>
          <w:trHeight w:val="340"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auto"/>
                <w:kern w:val="0"/>
                <w:sz w:val="22"/>
              </w:rPr>
            </w:pPr>
            <w:r>
              <w:rPr>
                <w:rFonts w:hint="eastAsia" w:ascii="宋体" w:hAnsi="宋体" w:cs="宋体"/>
                <w:color w:val="auto"/>
                <w:kern w:val="0"/>
                <w:sz w:val="22"/>
              </w:rPr>
              <w:t>二、政府性基金预算财政拨款</w:t>
            </w:r>
          </w:p>
        </w:tc>
        <w:tc>
          <w:tcPr>
            <w:tcW w:w="436"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2</w:t>
            </w:r>
          </w:p>
        </w:tc>
        <w:tc>
          <w:tcPr>
            <w:tcW w:w="107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3411" w:type="dxa"/>
            <w:gridSpan w:val="2"/>
            <w:tcBorders>
              <w:top w:val="nil"/>
              <w:left w:val="nil"/>
              <w:bottom w:val="single" w:color="auto" w:sz="4" w:space="0"/>
              <w:right w:val="single" w:color="auto" w:sz="4" w:space="0"/>
            </w:tcBorders>
            <w:noWrap/>
            <w:vAlign w:val="center"/>
          </w:tcPr>
          <w:p>
            <w:pPr>
              <w:widowControl/>
              <w:jc w:val="left"/>
              <w:rPr>
                <w:rFonts w:ascii="宋体" w:cs="宋体"/>
                <w:color w:val="auto"/>
                <w:kern w:val="0"/>
                <w:sz w:val="22"/>
              </w:rPr>
            </w:pPr>
            <w:r>
              <w:rPr>
                <w:rFonts w:hint="eastAsia" w:ascii="宋体" w:hAnsi="宋体" w:cs="宋体"/>
                <w:color w:val="auto"/>
                <w:kern w:val="0"/>
                <w:sz w:val="22"/>
              </w:rPr>
              <w:t>二、外交支出</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16</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r>
      <w:tr>
        <w:trPr>
          <w:trHeight w:val="340"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auto"/>
                <w:kern w:val="0"/>
                <w:sz w:val="22"/>
              </w:rPr>
            </w:pPr>
            <w:r>
              <w:rPr>
                <w:rFonts w:hint="eastAsia" w:ascii="宋体" w:hAnsi="宋体" w:cs="宋体"/>
                <w:color w:val="auto"/>
                <w:kern w:val="0"/>
                <w:sz w:val="22"/>
              </w:rPr>
              <w:t>三、国有资本经营预算财政拨款</w:t>
            </w:r>
          </w:p>
        </w:tc>
        <w:tc>
          <w:tcPr>
            <w:tcW w:w="436"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3</w:t>
            </w:r>
          </w:p>
        </w:tc>
        <w:tc>
          <w:tcPr>
            <w:tcW w:w="107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3411" w:type="dxa"/>
            <w:gridSpan w:val="2"/>
            <w:tcBorders>
              <w:top w:val="nil"/>
              <w:left w:val="nil"/>
              <w:bottom w:val="single" w:color="auto" w:sz="4" w:space="0"/>
              <w:right w:val="single" w:color="auto" w:sz="4" w:space="0"/>
            </w:tcBorders>
            <w:noWrap/>
            <w:vAlign w:val="center"/>
          </w:tcPr>
          <w:p>
            <w:pPr>
              <w:widowControl/>
              <w:jc w:val="left"/>
              <w:rPr>
                <w:rFonts w:ascii="宋体" w:cs="宋体"/>
                <w:color w:val="auto"/>
                <w:kern w:val="0"/>
                <w:sz w:val="22"/>
              </w:rPr>
            </w:pPr>
            <w:r>
              <w:rPr>
                <w:rFonts w:hint="eastAsia" w:ascii="宋体" w:hAnsi="宋体" w:cs="宋体"/>
                <w:color w:val="auto"/>
                <w:kern w:val="0"/>
                <w:sz w:val="22"/>
              </w:rPr>
              <w:t>三、国防支出</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17</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r>
      <w:tr>
        <w:tblPrEx>
          <w:tblCellMar>
            <w:top w:w="0" w:type="dxa"/>
            <w:left w:w="108" w:type="dxa"/>
            <w:bottom w:w="0" w:type="dxa"/>
            <w:right w:w="108" w:type="dxa"/>
          </w:tblCellMar>
        </w:tblPrEx>
        <w:trPr>
          <w:trHeight w:val="340"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auto"/>
                <w:kern w:val="0"/>
                <w:sz w:val="22"/>
              </w:rPr>
            </w:pPr>
            <w:r>
              <w:rPr>
                <w:rFonts w:hint="eastAsia" w:ascii="宋体" w:hAnsi="宋体" w:cs="宋体"/>
                <w:color w:val="auto"/>
                <w:kern w:val="0"/>
                <w:sz w:val="22"/>
              </w:rPr>
              <w:t>　</w:t>
            </w:r>
          </w:p>
        </w:tc>
        <w:tc>
          <w:tcPr>
            <w:tcW w:w="436"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4</w:t>
            </w:r>
          </w:p>
        </w:tc>
        <w:tc>
          <w:tcPr>
            <w:tcW w:w="107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3411" w:type="dxa"/>
            <w:gridSpan w:val="2"/>
            <w:tcBorders>
              <w:top w:val="nil"/>
              <w:left w:val="nil"/>
              <w:bottom w:val="single" w:color="auto" w:sz="4" w:space="0"/>
              <w:right w:val="single" w:color="auto" w:sz="4" w:space="0"/>
            </w:tcBorders>
            <w:noWrap/>
            <w:vAlign w:val="center"/>
          </w:tcPr>
          <w:p>
            <w:pPr>
              <w:widowControl/>
              <w:jc w:val="left"/>
              <w:rPr>
                <w:rFonts w:ascii="宋体" w:cs="宋体"/>
                <w:color w:val="auto"/>
                <w:kern w:val="0"/>
                <w:sz w:val="22"/>
              </w:rPr>
            </w:pPr>
            <w:r>
              <w:rPr>
                <w:rFonts w:hint="eastAsia" w:ascii="宋体" w:hAnsi="宋体" w:cs="宋体"/>
                <w:color w:val="auto"/>
                <w:kern w:val="0"/>
                <w:sz w:val="22"/>
              </w:rPr>
              <w:t>四、公共安全支出</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18</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r>
      <w:tr>
        <w:trPr>
          <w:trHeight w:val="340"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auto"/>
                <w:kern w:val="0"/>
                <w:sz w:val="22"/>
              </w:rPr>
            </w:pPr>
            <w:r>
              <w:rPr>
                <w:rFonts w:hint="eastAsia" w:ascii="宋体" w:hAnsi="宋体" w:cs="宋体"/>
                <w:color w:val="auto"/>
                <w:kern w:val="0"/>
                <w:sz w:val="22"/>
              </w:rPr>
              <w:t>　</w:t>
            </w:r>
          </w:p>
        </w:tc>
        <w:tc>
          <w:tcPr>
            <w:tcW w:w="436"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5</w:t>
            </w:r>
          </w:p>
        </w:tc>
        <w:tc>
          <w:tcPr>
            <w:tcW w:w="107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3411" w:type="dxa"/>
            <w:gridSpan w:val="2"/>
            <w:tcBorders>
              <w:top w:val="nil"/>
              <w:left w:val="nil"/>
              <w:bottom w:val="single" w:color="auto" w:sz="4" w:space="0"/>
              <w:right w:val="single" w:color="auto" w:sz="4" w:space="0"/>
            </w:tcBorders>
            <w:noWrap/>
            <w:vAlign w:val="center"/>
          </w:tcPr>
          <w:p>
            <w:pPr>
              <w:widowControl/>
              <w:jc w:val="left"/>
              <w:rPr>
                <w:rFonts w:ascii="宋体" w:cs="宋体"/>
                <w:color w:val="auto"/>
                <w:kern w:val="0"/>
                <w:sz w:val="22"/>
              </w:rPr>
            </w:pPr>
            <w:r>
              <w:rPr>
                <w:rFonts w:hint="eastAsia" w:ascii="宋体" w:hAnsi="宋体" w:cs="宋体"/>
                <w:color w:val="auto"/>
                <w:kern w:val="0"/>
                <w:sz w:val="22"/>
              </w:rPr>
              <w:t>五、教育支出</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19</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r>
      <w:tr>
        <w:tblPrEx>
          <w:tblCellMar>
            <w:top w:w="0" w:type="dxa"/>
            <w:left w:w="108" w:type="dxa"/>
            <w:bottom w:w="0" w:type="dxa"/>
            <w:right w:w="108" w:type="dxa"/>
          </w:tblCellMar>
        </w:tblPrEx>
        <w:trPr>
          <w:trHeight w:val="340"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auto"/>
                <w:kern w:val="0"/>
                <w:sz w:val="22"/>
              </w:rPr>
            </w:pPr>
            <w:r>
              <w:rPr>
                <w:rFonts w:hint="eastAsia" w:ascii="宋体" w:hAnsi="宋体" w:cs="宋体"/>
                <w:color w:val="auto"/>
                <w:kern w:val="0"/>
                <w:sz w:val="22"/>
              </w:rPr>
              <w:t>　</w:t>
            </w:r>
          </w:p>
        </w:tc>
        <w:tc>
          <w:tcPr>
            <w:tcW w:w="436"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6</w:t>
            </w:r>
          </w:p>
        </w:tc>
        <w:tc>
          <w:tcPr>
            <w:tcW w:w="107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3411" w:type="dxa"/>
            <w:gridSpan w:val="2"/>
            <w:tcBorders>
              <w:top w:val="nil"/>
              <w:left w:val="nil"/>
              <w:bottom w:val="single" w:color="auto" w:sz="4" w:space="0"/>
              <w:right w:val="single" w:color="auto" w:sz="4" w:space="0"/>
            </w:tcBorders>
            <w:noWrap/>
            <w:vAlign w:val="center"/>
          </w:tcPr>
          <w:p>
            <w:pPr>
              <w:widowControl/>
              <w:jc w:val="left"/>
              <w:rPr>
                <w:rFonts w:ascii="宋体" w:cs="宋体"/>
                <w:color w:val="auto"/>
                <w:kern w:val="0"/>
                <w:sz w:val="22"/>
              </w:rPr>
            </w:pPr>
            <w:r>
              <w:rPr>
                <w:rFonts w:hint="eastAsia" w:ascii="宋体" w:hAnsi="宋体" w:cs="宋体"/>
                <w:color w:val="auto"/>
                <w:kern w:val="0"/>
                <w:sz w:val="22"/>
              </w:rPr>
              <w:t>六、科学技术支出</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20</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r>
      <w:tr>
        <w:trPr>
          <w:trHeight w:val="340"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auto"/>
                <w:kern w:val="0"/>
                <w:sz w:val="22"/>
              </w:rPr>
            </w:pPr>
            <w:r>
              <w:rPr>
                <w:rFonts w:hint="eastAsia" w:ascii="宋体" w:hAnsi="宋体" w:cs="宋体"/>
                <w:color w:val="auto"/>
                <w:kern w:val="0"/>
                <w:sz w:val="22"/>
              </w:rPr>
              <w:t>　</w:t>
            </w:r>
          </w:p>
        </w:tc>
        <w:tc>
          <w:tcPr>
            <w:tcW w:w="436"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7</w:t>
            </w:r>
          </w:p>
        </w:tc>
        <w:tc>
          <w:tcPr>
            <w:tcW w:w="107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3411" w:type="dxa"/>
            <w:gridSpan w:val="2"/>
            <w:tcBorders>
              <w:top w:val="nil"/>
              <w:left w:val="nil"/>
              <w:bottom w:val="single" w:color="auto" w:sz="4" w:space="0"/>
              <w:right w:val="single" w:color="auto" w:sz="4" w:space="0"/>
            </w:tcBorders>
            <w:noWrap/>
            <w:vAlign w:val="center"/>
          </w:tcPr>
          <w:p>
            <w:pPr>
              <w:widowControl/>
              <w:jc w:val="left"/>
              <w:rPr>
                <w:color w:val="auto"/>
              </w:rPr>
            </w:pPr>
            <w:r>
              <w:rPr>
                <w:rFonts w:hint="eastAsia"/>
                <w:color w:val="auto"/>
              </w:rPr>
              <w:t>七、文化旅游体育与传媒支出</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21</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r>
      <w:tr>
        <w:tblPrEx>
          <w:tblCellMar>
            <w:top w:w="0" w:type="dxa"/>
            <w:left w:w="108" w:type="dxa"/>
            <w:bottom w:w="0" w:type="dxa"/>
            <w:right w:w="108" w:type="dxa"/>
          </w:tblCellMar>
        </w:tblPrEx>
        <w:trPr>
          <w:trHeight w:val="340"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auto"/>
                <w:kern w:val="0"/>
                <w:sz w:val="22"/>
              </w:rPr>
            </w:pPr>
            <w:r>
              <w:rPr>
                <w:rFonts w:hint="eastAsia" w:ascii="宋体" w:hAnsi="宋体" w:cs="宋体"/>
                <w:color w:val="auto"/>
                <w:kern w:val="0"/>
                <w:sz w:val="22"/>
              </w:rPr>
              <w:t>　</w:t>
            </w:r>
          </w:p>
        </w:tc>
        <w:tc>
          <w:tcPr>
            <w:tcW w:w="436"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8</w:t>
            </w:r>
          </w:p>
        </w:tc>
        <w:tc>
          <w:tcPr>
            <w:tcW w:w="107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3411" w:type="dxa"/>
            <w:gridSpan w:val="2"/>
            <w:tcBorders>
              <w:top w:val="nil"/>
              <w:left w:val="nil"/>
              <w:bottom w:val="single" w:color="auto" w:sz="4" w:space="0"/>
              <w:right w:val="single" w:color="auto" w:sz="4" w:space="0"/>
            </w:tcBorders>
            <w:noWrap/>
            <w:vAlign w:val="center"/>
          </w:tcPr>
          <w:p>
            <w:pPr>
              <w:widowControl/>
              <w:jc w:val="left"/>
              <w:rPr>
                <w:color w:val="auto"/>
              </w:rPr>
            </w:pPr>
            <w:r>
              <w:rPr>
                <w:rFonts w:hint="eastAsia"/>
                <w:color w:val="auto"/>
              </w:rPr>
              <w:t>八、社会保障和就业支出</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22</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11.52</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11.52</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r>
      <w:tr>
        <w:trPr>
          <w:trHeight w:val="340"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rPr>
                <w:rFonts w:ascii="宋体" w:cs="宋体"/>
                <w:b/>
                <w:bCs/>
                <w:color w:val="auto"/>
                <w:kern w:val="0"/>
                <w:sz w:val="22"/>
              </w:rPr>
            </w:pPr>
          </w:p>
        </w:tc>
        <w:tc>
          <w:tcPr>
            <w:tcW w:w="436"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9</w:t>
            </w:r>
          </w:p>
        </w:tc>
        <w:tc>
          <w:tcPr>
            <w:tcW w:w="107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3411" w:type="dxa"/>
            <w:gridSpan w:val="2"/>
            <w:tcBorders>
              <w:top w:val="nil"/>
              <w:left w:val="nil"/>
              <w:bottom w:val="single" w:color="auto" w:sz="4" w:space="0"/>
              <w:right w:val="single" w:color="auto" w:sz="4" w:space="0"/>
            </w:tcBorders>
            <w:noWrap/>
            <w:vAlign w:val="center"/>
          </w:tcPr>
          <w:p>
            <w:pPr>
              <w:widowControl/>
              <w:jc w:val="left"/>
              <w:rPr>
                <w:color w:val="auto"/>
              </w:rPr>
            </w:pPr>
            <w:r>
              <w:rPr>
                <w:rFonts w:hint="eastAsia"/>
                <w:color w:val="auto"/>
              </w:rPr>
              <w:t>九、卫生健康支出</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23</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5.33</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5.33</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b/>
                <w:bCs/>
                <w:color w:val="auto"/>
                <w:kern w:val="0"/>
                <w:sz w:val="22"/>
              </w:rPr>
            </w:pPr>
            <w:r>
              <w:rPr>
                <w:rFonts w:ascii="宋体" w:cs="宋体"/>
                <w:color w:val="auto"/>
                <w:kern w:val="0"/>
                <w:sz w:val="22"/>
              </w:rPr>
              <w:t>0.00</w:t>
            </w:r>
          </w:p>
        </w:tc>
      </w:tr>
      <w:tr>
        <w:tblPrEx>
          <w:tblCellMar>
            <w:top w:w="0" w:type="dxa"/>
            <w:left w:w="108" w:type="dxa"/>
            <w:bottom w:w="0" w:type="dxa"/>
            <w:right w:w="108" w:type="dxa"/>
          </w:tblCellMar>
        </w:tblPrEx>
        <w:trPr>
          <w:trHeight w:val="340"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rPr>
                <w:rFonts w:ascii="宋体" w:cs="宋体"/>
                <w:b/>
                <w:bCs/>
                <w:color w:val="auto"/>
                <w:kern w:val="0"/>
                <w:sz w:val="22"/>
              </w:rPr>
            </w:pPr>
            <w:r>
              <w:rPr>
                <w:rFonts w:hint="eastAsia" w:ascii="宋体" w:hAnsi="宋体" w:cs="宋体"/>
                <w:b/>
                <w:bCs/>
                <w:color w:val="auto"/>
                <w:kern w:val="0"/>
                <w:sz w:val="22"/>
              </w:rPr>
              <w:t>本年收入合计</w:t>
            </w:r>
          </w:p>
        </w:tc>
        <w:tc>
          <w:tcPr>
            <w:tcW w:w="436"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10</w:t>
            </w:r>
          </w:p>
        </w:tc>
        <w:tc>
          <w:tcPr>
            <w:tcW w:w="1078"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265.70</w:t>
            </w:r>
          </w:p>
        </w:tc>
        <w:tc>
          <w:tcPr>
            <w:tcW w:w="3411" w:type="dxa"/>
            <w:gridSpan w:val="2"/>
            <w:tcBorders>
              <w:top w:val="nil"/>
              <w:left w:val="nil"/>
              <w:bottom w:val="single" w:color="auto" w:sz="4" w:space="0"/>
              <w:right w:val="single" w:color="auto" w:sz="4" w:space="0"/>
            </w:tcBorders>
            <w:noWrap/>
            <w:vAlign w:val="center"/>
          </w:tcPr>
          <w:p>
            <w:pPr>
              <w:widowControl/>
              <w:jc w:val="center"/>
              <w:rPr>
                <w:rFonts w:ascii="宋体" w:cs="宋体"/>
                <w:b/>
                <w:bCs/>
                <w:color w:val="auto"/>
                <w:kern w:val="0"/>
                <w:sz w:val="22"/>
              </w:rPr>
            </w:pPr>
            <w:r>
              <w:rPr>
                <w:rFonts w:hint="eastAsia" w:ascii="宋体" w:hAnsi="宋体" w:cs="宋体"/>
                <w:b/>
                <w:bCs/>
                <w:color w:val="auto"/>
                <w:kern w:val="0"/>
                <w:sz w:val="22"/>
              </w:rPr>
              <w:t>本年支出合计</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24</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209.80</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209.80</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b/>
                <w:bCs/>
                <w:color w:val="auto"/>
                <w:kern w:val="0"/>
                <w:sz w:val="22"/>
              </w:rPr>
            </w:pPr>
            <w:r>
              <w:rPr>
                <w:rFonts w:ascii="宋体" w:cs="宋体"/>
                <w:color w:val="auto"/>
                <w:kern w:val="0"/>
                <w:sz w:val="22"/>
              </w:rPr>
              <w:t>0.00</w:t>
            </w:r>
          </w:p>
        </w:tc>
      </w:tr>
      <w:tr>
        <w:trPr>
          <w:trHeight w:val="340"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auto"/>
                <w:kern w:val="0"/>
                <w:sz w:val="22"/>
              </w:rPr>
            </w:pPr>
            <w:r>
              <w:rPr>
                <w:rFonts w:hint="eastAsia" w:ascii="宋体" w:hAnsi="宋体" w:cs="宋体"/>
                <w:color w:val="auto"/>
                <w:kern w:val="0"/>
                <w:sz w:val="22"/>
              </w:rPr>
              <w:t>年初财政拨款结转和结余</w:t>
            </w:r>
          </w:p>
        </w:tc>
        <w:tc>
          <w:tcPr>
            <w:tcW w:w="436"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11</w:t>
            </w:r>
          </w:p>
        </w:tc>
        <w:tc>
          <w:tcPr>
            <w:tcW w:w="1078" w:type="dxa"/>
            <w:tcBorders>
              <w:top w:val="nil"/>
              <w:left w:val="nil"/>
              <w:bottom w:val="single" w:color="auto" w:sz="4" w:space="0"/>
              <w:right w:val="single" w:color="auto" w:sz="4" w:space="0"/>
            </w:tcBorders>
            <w:noWrap/>
            <w:vAlign w:val="center"/>
          </w:tcPr>
          <w:p>
            <w:pPr>
              <w:widowControl/>
              <w:jc w:val="right"/>
              <w:rPr>
                <w:rFonts w:ascii="宋体" w:cs="宋体"/>
                <w:color w:val="auto"/>
                <w:kern w:val="0"/>
                <w:sz w:val="22"/>
              </w:rPr>
            </w:pPr>
            <w:r>
              <w:rPr>
                <w:rFonts w:hint="eastAsia" w:ascii="宋体" w:hAnsi="宋体" w:cs="宋体"/>
                <w:color w:val="auto"/>
                <w:kern w:val="0"/>
                <w:sz w:val="22"/>
              </w:rPr>
              <w:t>　</w:t>
            </w:r>
          </w:p>
        </w:tc>
        <w:tc>
          <w:tcPr>
            <w:tcW w:w="3411" w:type="dxa"/>
            <w:gridSpan w:val="2"/>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hint="eastAsia" w:ascii="宋体" w:hAnsi="宋体" w:cs="宋体"/>
                <w:color w:val="auto"/>
                <w:kern w:val="0"/>
                <w:sz w:val="22"/>
              </w:rPr>
              <w:t>年末财政拨款结转和结余</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25</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55.90</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55.90</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cs="宋体"/>
                <w:color w:val="auto"/>
                <w:kern w:val="0"/>
                <w:sz w:val="22"/>
              </w:rPr>
              <w:t>0.00</w:t>
            </w:r>
          </w:p>
        </w:tc>
      </w:tr>
      <w:tr>
        <w:tblPrEx>
          <w:tblCellMar>
            <w:top w:w="0" w:type="dxa"/>
            <w:left w:w="108" w:type="dxa"/>
            <w:bottom w:w="0" w:type="dxa"/>
            <w:right w:w="108" w:type="dxa"/>
          </w:tblCellMar>
        </w:tblPrEx>
        <w:trPr>
          <w:trHeight w:val="340"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auto"/>
                <w:kern w:val="0"/>
                <w:sz w:val="22"/>
              </w:rPr>
            </w:pPr>
            <w:r>
              <w:rPr>
                <w:rFonts w:hint="eastAsia" w:ascii="宋体" w:hAnsi="宋体" w:cs="宋体"/>
                <w:color w:val="auto"/>
                <w:kern w:val="0"/>
                <w:sz w:val="22"/>
              </w:rPr>
              <w:t>一般公共预算财政拨款</w:t>
            </w:r>
          </w:p>
        </w:tc>
        <w:tc>
          <w:tcPr>
            <w:tcW w:w="436"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12</w:t>
            </w:r>
          </w:p>
        </w:tc>
        <w:tc>
          <w:tcPr>
            <w:tcW w:w="1078" w:type="dxa"/>
            <w:tcBorders>
              <w:top w:val="nil"/>
              <w:left w:val="nil"/>
              <w:bottom w:val="single" w:color="auto" w:sz="4" w:space="0"/>
              <w:right w:val="single" w:color="auto" w:sz="4" w:space="0"/>
            </w:tcBorders>
            <w:noWrap/>
            <w:vAlign w:val="center"/>
          </w:tcPr>
          <w:p>
            <w:pPr>
              <w:widowControl/>
              <w:jc w:val="right"/>
              <w:rPr>
                <w:rFonts w:ascii="宋体" w:cs="宋体"/>
                <w:color w:val="auto"/>
                <w:kern w:val="0"/>
                <w:sz w:val="22"/>
              </w:rPr>
            </w:pPr>
            <w:r>
              <w:rPr>
                <w:rFonts w:hint="eastAsia" w:ascii="宋体" w:hAnsi="宋体" w:cs="宋体"/>
                <w:color w:val="auto"/>
                <w:kern w:val="0"/>
                <w:sz w:val="22"/>
              </w:rPr>
              <w:t>　</w:t>
            </w:r>
          </w:p>
        </w:tc>
        <w:tc>
          <w:tcPr>
            <w:tcW w:w="3411" w:type="dxa"/>
            <w:gridSpan w:val="2"/>
            <w:tcBorders>
              <w:top w:val="nil"/>
              <w:left w:val="nil"/>
              <w:bottom w:val="single" w:color="auto" w:sz="4" w:space="0"/>
              <w:right w:val="single" w:color="auto" w:sz="4" w:space="0"/>
            </w:tcBorders>
            <w:noWrap/>
            <w:vAlign w:val="center"/>
          </w:tcPr>
          <w:p>
            <w:pPr>
              <w:widowControl/>
              <w:jc w:val="left"/>
              <w:rPr>
                <w:rFonts w:ascii="宋体" w:cs="宋体"/>
                <w:color w:val="auto"/>
                <w:kern w:val="0"/>
                <w:sz w:val="22"/>
              </w:rPr>
            </w:pPr>
            <w:r>
              <w:rPr>
                <w:rFonts w:hint="eastAsia" w:ascii="宋体" w:hAnsi="宋体" w:cs="宋体"/>
                <w:color w:val="auto"/>
                <w:kern w:val="0"/>
                <w:sz w:val="22"/>
              </w:rPr>
              <w:t>　</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26</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p>
        </w:tc>
      </w:tr>
      <w:tr>
        <w:trPr>
          <w:trHeight w:val="340"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auto"/>
                <w:kern w:val="0"/>
                <w:sz w:val="22"/>
              </w:rPr>
            </w:pPr>
            <w:r>
              <w:rPr>
                <w:rFonts w:hint="eastAsia" w:ascii="宋体" w:hAnsi="宋体" w:cs="宋体"/>
                <w:color w:val="auto"/>
                <w:kern w:val="0"/>
                <w:sz w:val="22"/>
              </w:rPr>
              <w:t>政府性基金预算财政拨款</w:t>
            </w:r>
          </w:p>
        </w:tc>
        <w:tc>
          <w:tcPr>
            <w:tcW w:w="436"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13</w:t>
            </w:r>
          </w:p>
        </w:tc>
        <w:tc>
          <w:tcPr>
            <w:tcW w:w="1078" w:type="dxa"/>
            <w:tcBorders>
              <w:top w:val="nil"/>
              <w:left w:val="nil"/>
              <w:bottom w:val="single" w:color="auto" w:sz="4" w:space="0"/>
              <w:right w:val="single" w:color="auto" w:sz="4" w:space="0"/>
            </w:tcBorders>
            <w:noWrap/>
            <w:vAlign w:val="center"/>
          </w:tcPr>
          <w:p>
            <w:pPr>
              <w:widowControl/>
              <w:jc w:val="right"/>
              <w:rPr>
                <w:rFonts w:ascii="宋体" w:cs="宋体"/>
                <w:color w:val="auto"/>
                <w:kern w:val="0"/>
                <w:sz w:val="22"/>
              </w:rPr>
            </w:pPr>
            <w:r>
              <w:rPr>
                <w:rFonts w:hint="eastAsia" w:ascii="宋体" w:hAnsi="宋体" w:cs="宋体"/>
                <w:color w:val="auto"/>
                <w:kern w:val="0"/>
                <w:sz w:val="22"/>
              </w:rPr>
              <w:t>　</w:t>
            </w:r>
          </w:p>
        </w:tc>
        <w:tc>
          <w:tcPr>
            <w:tcW w:w="3411" w:type="dxa"/>
            <w:gridSpan w:val="2"/>
            <w:tcBorders>
              <w:top w:val="nil"/>
              <w:left w:val="nil"/>
              <w:bottom w:val="single" w:color="auto" w:sz="4" w:space="0"/>
              <w:right w:val="single" w:color="auto" w:sz="4" w:space="0"/>
            </w:tcBorders>
            <w:noWrap/>
            <w:vAlign w:val="center"/>
          </w:tcPr>
          <w:p>
            <w:pPr>
              <w:widowControl/>
              <w:jc w:val="left"/>
              <w:rPr>
                <w:rFonts w:ascii="宋体" w:cs="宋体"/>
                <w:color w:val="auto"/>
                <w:kern w:val="0"/>
                <w:sz w:val="22"/>
              </w:rPr>
            </w:pPr>
            <w:r>
              <w:rPr>
                <w:rFonts w:hint="eastAsia" w:ascii="宋体" w:hAnsi="宋体" w:cs="宋体"/>
                <w:color w:val="auto"/>
                <w:kern w:val="0"/>
                <w:sz w:val="22"/>
              </w:rPr>
              <w:t>　</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27</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p>
        </w:tc>
      </w:tr>
      <w:tr>
        <w:tblPrEx>
          <w:tblCellMar>
            <w:top w:w="0" w:type="dxa"/>
            <w:left w:w="108" w:type="dxa"/>
            <w:bottom w:w="0" w:type="dxa"/>
            <w:right w:w="108" w:type="dxa"/>
          </w:tblCellMar>
        </w:tblPrEx>
        <w:trPr>
          <w:trHeight w:val="340"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auto"/>
                <w:kern w:val="0"/>
                <w:sz w:val="22"/>
              </w:rPr>
            </w:pPr>
            <w:r>
              <w:rPr>
                <w:rFonts w:hint="eastAsia" w:ascii="宋体" w:hAnsi="宋体" w:cs="宋体"/>
                <w:color w:val="auto"/>
                <w:kern w:val="0"/>
                <w:sz w:val="22"/>
              </w:rPr>
              <w:t>国有资本经营预算财政拨款</w:t>
            </w:r>
          </w:p>
        </w:tc>
        <w:tc>
          <w:tcPr>
            <w:tcW w:w="436"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14</w:t>
            </w:r>
          </w:p>
        </w:tc>
        <w:tc>
          <w:tcPr>
            <w:tcW w:w="1078" w:type="dxa"/>
            <w:tcBorders>
              <w:top w:val="nil"/>
              <w:left w:val="nil"/>
              <w:bottom w:val="single" w:color="auto" w:sz="4" w:space="0"/>
              <w:right w:val="single" w:color="auto" w:sz="4" w:space="0"/>
            </w:tcBorders>
            <w:noWrap/>
            <w:vAlign w:val="center"/>
          </w:tcPr>
          <w:p>
            <w:pPr>
              <w:widowControl/>
              <w:jc w:val="right"/>
              <w:rPr>
                <w:rFonts w:ascii="宋体" w:cs="宋体"/>
                <w:color w:val="auto"/>
                <w:kern w:val="0"/>
                <w:sz w:val="22"/>
              </w:rPr>
            </w:pPr>
            <w:r>
              <w:rPr>
                <w:rFonts w:hint="eastAsia" w:ascii="宋体" w:hAnsi="宋体" w:cs="宋体"/>
                <w:color w:val="auto"/>
                <w:kern w:val="0"/>
                <w:sz w:val="22"/>
              </w:rPr>
              <w:t>　</w:t>
            </w:r>
          </w:p>
        </w:tc>
        <w:tc>
          <w:tcPr>
            <w:tcW w:w="3411" w:type="dxa"/>
            <w:gridSpan w:val="2"/>
            <w:tcBorders>
              <w:top w:val="nil"/>
              <w:left w:val="nil"/>
              <w:bottom w:val="single" w:color="auto" w:sz="4" w:space="0"/>
              <w:right w:val="single" w:color="auto" w:sz="4" w:space="0"/>
            </w:tcBorders>
            <w:noWrap/>
            <w:vAlign w:val="center"/>
          </w:tcPr>
          <w:p>
            <w:pPr>
              <w:widowControl/>
              <w:jc w:val="left"/>
              <w:rPr>
                <w:rFonts w:ascii="宋体" w:cs="宋体"/>
                <w:color w:val="auto"/>
                <w:kern w:val="0"/>
                <w:sz w:val="22"/>
              </w:rPr>
            </w:pPr>
            <w:r>
              <w:rPr>
                <w:rFonts w:hint="eastAsia" w:ascii="宋体" w:hAnsi="宋体" w:cs="宋体"/>
                <w:color w:val="auto"/>
                <w:kern w:val="0"/>
                <w:sz w:val="22"/>
              </w:rPr>
              <w:t>　</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r>
              <w:rPr>
                <w:rFonts w:ascii="宋体" w:hAnsi="宋体" w:cs="宋体"/>
                <w:color w:val="auto"/>
                <w:kern w:val="0"/>
                <w:sz w:val="22"/>
              </w:rPr>
              <w:t>28</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2"/>
              </w:rPr>
            </w:pPr>
          </w:p>
        </w:tc>
      </w:tr>
      <w:tr>
        <w:trPr>
          <w:trHeight w:val="340"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cs="宋体"/>
                <w:b/>
                <w:bCs/>
                <w:color w:val="auto"/>
                <w:kern w:val="0"/>
                <w:sz w:val="22"/>
              </w:rPr>
            </w:pPr>
            <w:r>
              <w:rPr>
                <w:rFonts w:hint="eastAsia" w:ascii="宋体" w:hAnsi="宋体" w:cs="宋体"/>
                <w:b/>
                <w:bCs/>
                <w:color w:val="auto"/>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2"/>
              </w:rPr>
            </w:pPr>
            <w:r>
              <w:rPr>
                <w:rFonts w:ascii="宋体" w:hAnsi="宋体" w:cs="宋体"/>
                <w:color w:val="auto"/>
                <w:kern w:val="0"/>
                <w:sz w:val="22"/>
              </w:rPr>
              <w:t>14</w:t>
            </w:r>
          </w:p>
        </w:tc>
        <w:tc>
          <w:tcPr>
            <w:tcW w:w="1078" w:type="dxa"/>
            <w:tcBorders>
              <w:top w:val="nil"/>
              <w:left w:val="nil"/>
              <w:bottom w:val="single" w:color="auto" w:sz="4" w:space="0"/>
              <w:right w:val="single" w:color="auto" w:sz="4" w:space="0"/>
            </w:tcBorders>
            <w:noWrap/>
            <w:vAlign w:val="center"/>
          </w:tcPr>
          <w:p>
            <w:pPr>
              <w:widowControl/>
              <w:jc w:val="right"/>
              <w:rPr>
                <w:rFonts w:ascii="宋体" w:cs="宋体"/>
                <w:color w:val="auto"/>
                <w:kern w:val="0"/>
                <w:sz w:val="22"/>
              </w:rPr>
            </w:pPr>
            <w:r>
              <w:rPr>
                <w:rFonts w:ascii="宋体" w:hAnsi="宋体" w:cs="宋体"/>
                <w:color w:val="auto"/>
                <w:kern w:val="0"/>
                <w:sz w:val="22"/>
              </w:rPr>
              <w:t>265.70</w:t>
            </w:r>
            <w:r>
              <w:rPr>
                <w:rFonts w:hint="eastAsia" w:ascii="宋体" w:hAnsi="宋体" w:cs="宋体"/>
                <w:color w:val="auto"/>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b/>
                <w:bCs/>
                <w:color w:val="auto"/>
                <w:kern w:val="0"/>
                <w:sz w:val="22"/>
              </w:rPr>
            </w:pPr>
            <w:r>
              <w:rPr>
                <w:rFonts w:hint="eastAsia" w:ascii="宋体" w:hAnsi="宋体" w:cs="宋体"/>
                <w:b/>
                <w:bCs/>
                <w:color w:val="auto"/>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2"/>
              </w:rPr>
            </w:pPr>
            <w:r>
              <w:rPr>
                <w:rFonts w:ascii="宋体" w:hAnsi="宋体" w:cs="宋体"/>
                <w:color w:val="auto"/>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2"/>
              </w:rPr>
            </w:pPr>
            <w:r>
              <w:rPr>
                <w:rFonts w:ascii="宋体" w:hAnsi="宋体" w:cs="宋体"/>
                <w:color w:val="auto"/>
                <w:kern w:val="0"/>
                <w:sz w:val="22"/>
              </w:rPr>
              <w:t>265.70</w:t>
            </w:r>
            <w:r>
              <w:rPr>
                <w:rFonts w:hint="eastAsia" w:ascii="宋体" w:hAnsi="宋体" w:cs="宋体"/>
                <w:color w:val="auto"/>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color w:val="auto"/>
                <w:kern w:val="0"/>
                <w:sz w:val="22"/>
              </w:rPr>
            </w:pPr>
            <w:r>
              <w:rPr>
                <w:rFonts w:ascii="宋体" w:hAnsi="宋体" w:cs="宋体"/>
                <w:color w:val="auto"/>
                <w:kern w:val="0"/>
                <w:sz w:val="22"/>
              </w:rPr>
              <w:t>265.70</w:t>
            </w:r>
            <w:r>
              <w:rPr>
                <w:rFonts w:hint="eastAsia" w:ascii="宋体" w:hAnsi="宋体" w:cs="宋体"/>
                <w:color w:val="auto"/>
                <w:kern w:val="0"/>
                <w:sz w:val="22"/>
              </w:rPr>
              <w:t>　</w:t>
            </w:r>
          </w:p>
        </w:tc>
        <w:tc>
          <w:tcPr>
            <w:tcW w:w="1394" w:type="dxa"/>
            <w:tcBorders>
              <w:top w:val="nil"/>
              <w:left w:val="nil"/>
              <w:bottom w:val="single" w:color="auto" w:sz="4" w:space="0"/>
              <w:right w:val="single" w:color="auto" w:sz="4" w:space="0"/>
            </w:tcBorders>
            <w:noWrap/>
            <w:vAlign w:val="center"/>
          </w:tcPr>
          <w:p>
            <w:pPr>
              <w:widowControl/>
              <w:jc w:val="left"/>
              <w:rPr>
                <w:rFonts w:ascii="宋体" w:cs="宋体"/>
                <w:b/>
                <w:bCs/>
                <w:color w:val="auto"/>
                <w:kern w:val="0"/>
                <w:sz w:val="22"/>
              </w:rPr>
            </w:pPr>
            <w:r>
              <w:rPr>
                <w:rFonts w:hint="eastAsia" w:ascii="宋体" w:hAnsi="宋体" w:cs="宋体"/>
                <w:b/>
                <w:bCs/>
                <w:color w:val="auto"/>
                <w:kern w:val="0"/>
                <w:sz w:val="22"/>
              </w:rPr>
              <w:t>　</w:t>
            </w:r>
          </w:p>
        </w:tc>
        <w:tc>
          <w:tcPr>
            <w:tcW w:w="1573" w:type="dxa"/>
            <w:tcBorders>
              <w:top w:val="nil"/>
              <w:left w:val="nil"/>
              <w:bottom w:val="single" w:color="auto" w:sz="4" w:space="0"/>
              <w:right w:val="single" w:color="auto" w:sz="4" w:space="0"/>
            </w:tcBorders>
            <w:noWrap/>
            <w:vAlign w:val="center"/>
          </w:tcPr>
          <w:p>
            <w:pPr>
              <w:widowControl/>
              <w:jc w:val="left"/>
              <w:rPr>
                <w:rFonts w:ascii="宋体" w:cs="宋体"/>
                <w:b/>
                <w:bCs/>
                <w:color w:val="auto"/>
                <w:kern w:val="0"/>
                <w:sz w:val="22"/>
              </w:rPr>
            </w:pPr>
            <w:r>
              <w:rPr>
                <w:rFonts w:hint="eastAsia" w:ascii="宋体" w:hAnsi="宋体" w:cs="宋体"/>
                <w:b/>
                <w:bCs/>
                <w:color w:val="auto"/>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vAlign w:val="center"/>
          </w:tcPr>
          <w:p>
            <w:pPr>
              <w:widowControl/>
              <w:jc w:val="left"/>
              <w:rPr>
                <w:rFonts w:ascii="宋体" w:cs="宋体"/>
                <w:color w:val="auto"/>
                <w:kern w:val="0"/>
                <w:sz w:val="24"/>
                <w:szCs w:val="24"/>
              </w:rPr>
            </w:pPr>
            <w:r>
              <w:rPr>
                <w:rFonts w:hint="eastAsia" w:ascii="宋体" w:hAnsi="宋体" w:cs="宋体"/>
                <w:color w:val="auto"/>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olor w:val="auto"/>
          <w:kern w:val="0"/>
          <w:sz w:val="36"/>
          <w:szCs w:val="36"/>
        </w:rPr>
      </w:pPr>
    </w:p>
    <w:p>
      <w:pPr>
        <w:widowControl/>
        <w:jc w:val="center"/>
        <w:rPr>
          <w:rFonts w:ascii="Times New Roman" w:hAnsi="Times New Roman" w:eastAsia="方正小标宋_GBK"/>
          <w:color w:val="auto"/>
          <w:kern w:val="0"/>
          <w:sz w:val="36"/>
          <w:szCs w:val="36"/>
        </w:rPr>
      </w:pPr>
    </w:p>
    <w:p>
      <w:pPr>
        <w:widowControl/>
        <w:jc w:val="center"/>
        <w:rPr>
          <w:rFonts w:ascii="华文中宋" w:hAnsi="华文中宋" w:eastAsia="华文中宋" w:cs="宋体"/>
          <w:color w:val="auto"/>
          <w:kern w:val="0"/>
          <w:sz w:val="32"/>
          <w:szCs w:val="32"/>
        </w:rPr>
      </w:pPr>
      <w:r>
        <w:rPr>
          <w:rFonts w:hint="eastAsia" w:ascii="华文中宋" w:hAnsi="华文中宋" w:eastAsia="华文中宋" w:cs="宋体"/>
          <w:color w:val="auto"/>
          <w:kern w:val="0"/>
          <w:sz w:val="32"/>
          <w:szCs w:val="32"/>
        </w:rPr>
        <w:t>一般公共预算财政拨款支出决算表</w:t>
      </w:r>
    </w:p>
    <w:p>
      <w:pPr>
        <w:widowControl/>
        <w:spacing w:beforeLines="50"/>
        <w:jc w:val="left"/>
        <w:rPr>
          <w:rFonts w:ascii="Times New Roman" w:hAnsi="Times New Roman" w:eastAsia="仿宋_GB2312"/>
          <w:color w:val="auto"/>
          <w:kern w:val="0"/>
          <w:szCs w:val="21"/>
        </w:rPr>
      </w:pPr>
      <w:r>
        <w:rPr>
          <w:rFonts w:hint="eastAsia" w:ascii="Times New Roman" w:hAnsi="Times New Roman" w:eastAsia="仿宋_GB2312"/>
          <w:color w:val="auto"/>
          <w:kern w:val="0"/>
          <w:szCs w:val="21"/>
        </w:rPr>
        <w:t>部门：</w:t>
      </w:r>
      <w:r>
        <w:rPr>
          <w:rFonts w:hint="eastAsia" w:ascii="宋体" w:hAnsi="宋体" w:cs="宋体"/>
          <w:color w:val="auto"/>
          <w:kern w:val="0"/>
          <w:sz w:val="20"/>
          <w:szCs w:val="20"/>
        </w:rPr>
        <w:t>岳阳市市场监督管理局城陵矶新港区分局</w:t>
      </w:r>
      <w:r>
        <w:rPr>
          <w:rFonts w:ascii="Times New Roman" w:hAnsi="Times New Roman" w:eastAsia="仿宋_GB2312"/>
          <w:color w:val="auto"/>
          <w:kern w:val="0"/>
          <w:szCs w:val="21"/>
        </w:rPr>
        <w:t xml:space="preserve">                    </w:t>
      </w:r>
      <w:r>
        <w:rPr>
          <w:rFonts w:hint="eastAsia" w:ascii="Times New Roman" w:hAnsi="Times New Roman" w:eastAsia="仿宋_GB2312"/>
          <w:color w:val="auto"/>
          <w:kern w:val="0"/>
          <w:szCs w:val="21"/>
        </w:rPr>
        <w:t>公开</w:t>
      </w:r>
      <w:r>
        <w:rPr>
          <w:rFonts w:ascii="Times New Roman" w:hAnsi="Times New Roman" w:eastAsia="仿宋_GB2312"/>
          <w:color w:val="auto"/>
          <w:kern w:val="0"/>
          <w:szCs w:val="21"/>
        </w:rPr>
        <w:t>05</w:t>
      </w:r>
      <w:r>
        <w:rPr>
          <w:rFonts w:hint="eastAsia" w:ascii="Times New Roman" w:hAnsi="Times New Roman" w:eastAsia="仿宋_GB2312"/>
          <w:color w:val="auto"/>
          <w:kern w:val="0"/>
          <w:szCs w:val="21"/>
        </w:rPr>
        <w:t>表</w:t>
      </w:r>
    </w:p>
    <w:p>
      <w:pPr>
        <w:widowControl/>
        <w:jc w:val="left"/>
        <w:rPr>
          <w:rFonts w:ascii="Times New Roman" w:hAnsi="Times New Roman"/>
          <w:color w:val="auto"/>
          <w:kern w:val="0"/>
          <w:sz w:val="20"/>
          <w:szCs w:val="20"/>
        </w:rPr>
      </w:pPr>
      <w:r>
        <w:rPr>
          <w:rFonts w:ascii="Times New Roman" w:hAnsi="Times New Roman" w:eastAsia="仿宋_GB2312"/>
          <w:color w:val="auto"/>
          <w:kern w:val="0"/>
          <w:szCs w:val="21"/>
        </w:rPr>
        <w:t xml:space="preserve">     </w:t>
      </w:r>
      <w:r>
        <w:rPr>
          <w:rFonts w:hint="eastAsia" w:ascii="Times New Roman" w:hAnsi="Times New Roman" w:eastAsia="仿宋_GB2312"/>
          <w:color w:val="auto"/>
          <w:kern w:val="0"/>
          <w:szCs w:val="21"/>
        </w:rPr>
        <w:t>单位：万元</w:t>
      </w:r>
    </w:p>
    <w:tbl>
      <w:tblPr>
        <w:tblStyle w:val="7"/>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b/>
                <w:color w:val="auto"/>
                <w:kern w:val="0"/>
                <w:szCs w:val="21"/>
              </w:rPr>
            </w:pPr>
            <w:r>
              <w:rPr>
                <w:rFonts w:hint="eastAsia" w:ascii="Times New Roman" w:hAnsi="Times New Roman" w:eastAsia="仿宋_GB2312"/>
                <w:b/>
                <w:color w:val="auto"/>
                <w:kern w:val="0"/>
                <w:szCs w:val="21"/>
              </w:rPr>
              <w:t>项</w:t>
            </w:r>
            <w:r>
              <w:rPr>
                <w:rFonts w:ascii="Times New Roman" w:hAnsi="Times New Roman" w:eastAsia="仿宋_GB2312"/>
                <w:b/>
                <w:color w:val="auto"/>
                <w:kern w:val="0"/>
                <w:szCs w:val="21"/>
              </w:rPr>
              <w:t xml:space="preserve"> </w:t>
            </w:r>
            <w:r>
              <w:rPr>
                <w:rFonts w:hint="eastAsia" w:ascii="Times New Roman" w:hAnsi="Times New Roman" w:eastAsia="仿宋_GB2312"/>
                <w:b/>
                <w:color w:val="auto"/>
                <w:kern w:val="0"/>
                <w:szCs w:val="21"/>
              </w:rPr>
              <w:t>目</w:t>
            </w:r>
          </w:p>
        </w:tc>
        <w:tc>
          <w:tcPr>
            <w:tcW w:w="9492" w:type="dxa"/>
            <w:gridSpan w:val="3"/>
            <w:tcBorders>
              <w:top w:val="single" w:color="auto" w:sz="8" w:space="0"/>
              <w:left w:val="nil"/>
              <w:bottom w:val="single" w:color="auto" w:sz="4" w:space="0"/>
              <w:right w:val="single" w:color="000000" w:sz="8" w:space="0"/>
            </w:tcBorders>
            <w:vAlign w:val="center"/>
          </w:tcPr>
          <w:p>
            <w:pPr>
              <w:widowControl/>
              <w:jc w:val="center"/>
              <w:rPr>
                <w:rFonts w:ascii="Times New Roman" w:hAnsi="Times New Roman" w:eastAsia="仿宋_GB2312"/>
                <w:b/>
                <w:color w:val="auto"/>
                <w:kern w:val="0"/>
                <w:szCs w:val="21"/>
              </w:rPr>
            </w:pPr>
            <w:r>
              <w:rPr>
                <w:rFonts w:hint="eastAsia" w:ascii="Times New Roman" w:hAnsi="Times New Roman" w:eastAsia="仿宋_GB2312"/>
                <w:b/>
                <w:color w:val="auto"/>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b/>
                <w:color w:val="auto"/>
                <w:kern w:val="0"/>
                <w:szCs w:val="21"/>
              </w:rPr>
            </w:pPr>
            <w:r>
              <w:rPr>
                <w:rFonts w:hint="eastAsia" w:ascii="Times New Roman" w:hAnsi="Times New Roman" w:eastAsia="仿宋_GB2312"/>
                <w:b/>
                <w:color w:val="auto"/>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b/>
                <w:color w:val="auto"/>
                <w:kern w:val="0"/>
                <w:szCs w:val="21"/>
              </w:rPr>
            </w:pPr>
            <w:r>
              <w:rPr>
                <w:rFonts w:hint="eastAsia" w:ascii="Times New Roman" w:hAnsi="Times New Roman" w:eastAsia="仿宋_GB2312"/>
                <w:b/>
                <w:color w:val="auto"/>
                <w:kern w:val="0"/>
                <w:szCs w:val="21"/>
              </w:rPr>
              <w:t>科目名称</w:t>
            </w:r>
          </w:p>
        </w:tc>
        <w:tc>
          <w:tcPr>
            <w:tcW w:w="300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b/>
                <w:color w:val="auto"/>
                <w:kern w:val="0"/>
                <w:szCs w:val="21"/>
              </w:rPr>
            </w:pPr>
            <w:r>
              <w:rPr>
                <w:rFonts w:hint="eastAsia" w:ascii="Times New Roman" w:hAnsi="Times New Roman" w:eastAsia="仿宋_GB2312"/>
                <w:b/>
                <w:color w:val="auto"/>
                <w:kern w:val="0"/>
                <w:szCs w:val="21"/>
              </w:rPr>
              <w:t>小计</w:t>
            </w:r>
          </w:p>
        </w:tc>
        <w:tc>
          <w:tcPr>
            <w:tcW w:w="3492"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b/>
                <w:color w:val="auto"/>
                <w:kern w:val="0"/>
                <w:szCs w:val="21"/>
              </w:rPr>
            </w:pPr>
            <w:r>
              <w:rPr>
                <w:rFonts w:hint="eastAsia" w:ascii="Times New Roman" w:hAnsi="Times New Roman" w:eastAsia="仿宋_GB2312"/>
                <w:b/>
                <w:color w:val="auto"/>
                <w:kern w:val="0"/>
                <w:szCs w:val="21"/>
              </w:rPr>
              <w:t>基本支出</w:t>
            </w:r>
          </w:p>
        </w:tc>
        <w:tc>
          <w:tcPr>
            <w:tcW w:w="3000" w:type="dxa"/>
            <w:vMerge w:val="restart"/>
            <w:tcBorders>
              <w:top w:val="nil"/>
              <w:left w:val="single" w:color="auto" w:sz="4" w:space="0"/>
              <w:bottom w:val="single" w:color="000000" w:sz="4" w:space="0"/>
              <w:right w:val="single" w:color="auto" w:sz="8" w:space="0"/>
            </w:tcBorders>
            <w:vAlign w:val="center"/>
          </w:tcPr>
          <w:p>
            <w:pPr>
              <w:widowControl/>
              <w:jc w:val="center"/>
              <w:rPr>
                <w:rFonts w:ascii="Times New Roman" w:hAnsi="Times New Roman" w:eastAsia="仿宋_GB2312"/>
                <w:b/>
                <w:color w:val="auto"/>
                <w:kern w:val="0"/>
                <w:szCs w:val="21"/>
              </w:rPr>
            </w:pPr>
            <w:r>
              <w:rPr>
                <w:rFonts w:hint="eastAsia" w:ascii="Times New Roman" w:hAnsi="Times New Roman" w:eastAsia="仿宋_GB2312"/>
                <w:b/>
                <w:color w:val="auto"/>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olor w:val="auto"/>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auto"/>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auto"/>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auto"/>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olor w:val="auto"/>
                <w:kern w:val="0"/>
                <w:szCs w:val="21"/>
              </w:rPr>
            </w:pPr>
          </w:p>
        </w:tc>
      </w:tr>
      <w:tr>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olor w:val="auto"/>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auto"/>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auto"/>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auto"/>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olor w:val="auto"/>
                <w:kern w:val="0"/>
                <w:szCs w:val="21"/>
              </w:rPr>
            </w:pPr>
          </w:p>
        </w:tc>
      </w:tr>
      <w:tr>
        <w:trPr>
          <w:trHeight w:val="369" w:hRule="atLeast"/>
          <w:jc w:val="center"/>
        </w:trPr>
        <w:tc>
          <w:tcPr>
            <w:tcW w:w="4727"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rPr>
              <w:t>栏次</w:t>
            </w:r>
          </w:p>
        </w:tc>
        <w:tc>
          <w:tcPr>
            <w:tcW w:w="30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1</w:t>
            </w:r>
          </w:p>
        </w:tc>
        <w:tc>
          <w:tcPr>
            <w:tcW w:w="34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2</w:t>
            </w:r>
          </w:p>
        </w:tc>
        <w:tc>
          <w:tcPr>
            <w:tcW w:w="3000"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3</w:t>
            </w:r>
          </w:p>
        </w:tc>
      </w:tr>
      <w:tr>
        <w:tblPrEx>
          <w:tblCellMar>
            <w:top w:w="0" w:type="dxa"/>
            <w:left w:w="108" w:type="dxa"/>
            <w:bottom w:w="0" w:type="dxa"/>
            <w:right w:w="108" w:type="dxa"/>
          </w:tblCellMar>
        </w:tblPrEx>
        <w:trPr>
          <w:trHeight w:val="369" w:hRule="atLeast"/>
          <w:jc w:val="center"/>
        </w:trPr>
        <w:tc>
          <w:tcPr>
            <w:tcW w:w="4727"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rPr>
              <w:t>合计</w:t>
            </w:r>
          </w:p>
        </w:tc>
        <w:tc>
          <w:tcPr>
            <w:tcW w:w="30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209.80</w:t>
            </w:r>
          </w:p>
        </w:tc>
        <w:tc>
          <w:tcPr>
            <w:tcW w:w="34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120.25</w:t>
            </w:r>
          </w:p>
        </w:tc>
        <w:tc>
          <w:tcPr>
            <w:tcW w:w="3000"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89.55</w:t>
            </w:r>
          </w:p>
        </w:tc>
      </w:tr>
      <w:tr>
        <w:tblPrEx>
          <w:tblCellMar>
            <w:top w:w="0" w:type="dxa"/>
            <w:left w:w="108" w:type="dxa"/>
            <w:bottom w:w="0" w:type="dxa"/>
            <w:right w:w="108" w:type="dxa"/>
          </w:tblCellMar>
        </w:tblPrEx>
        <w:trPr>
          <w:trHeight w:val="369"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olor w:val="auto"/>
                <w:kern w:val="0"/>
                <w:szCs w:val="21"/>
              </w:rPr>
            </w:pPr>
            <w:r>
              <w:rPr>
                <w:color w:val="auto"/>
              </w:rPr>
              <w:t>201</w:t>
            </w:r>
          </w:p>
        </w:tc>
        <w:tc>
          <w:tcPr>
            <w:tcW w:w="352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auto"/>
                <w:kern w:val="0"/>
                <w:szCs w:val="21"/>
              </w:rPr>
            </w:pPr>
            <w:r>
              <w:rPr>
                <w:rFonts w:hint="eastAsia"/>
                <w:color w:val="auto"/>
              </w:rPr>
              <w:t>一般公共服务支出</w:t>
            </w:r>
          </w:p>
        </w:tc>
        <w:tc>
          <w:tcPr>
            <w:tcW w:w="3000" w:type="dxa"/>
            <w:tcBorders>
              <w:top w:val="nil"/>
              <w:left w:val="nil"/>
              <w:bottom w:val="single" w:color="auto" w:sz="4" w:space="0"/>
              <w:right w:val="single" w:color="auto" w:sz="4" w:space="0"/>
            </w:tcBorders>
            <w:vAlign w:val="center"/>
          </w:tcPr>
          <w:p>
            <w:pPr>
              <w:widowControl/>
              <w:jc w:val="center"/>
              <w:rPr>
                <w:rFonts w:ascii="Times New Roman" w:hAnsi="Times New Roman"/>
                <w:color w:val="auto"/>
                <w:kern w:val="0"/>
                <w:szCs w:val="21"/>
              </w:rPr>
            </w:pPr>
            <w:r>
              <w:rPr>
                <w:color w:val="auto"/>
              </w:rPr>
              <w:t>209.80</w:t>
            </w:r>
          </w:p>
        </w:tc>
        <w:tc>
          <w:tcPr>
            <w:tcW w:w="34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eastAsia="仿宋_GB2312"/>
                <w:color w:val="auto"/>
              </w:rPr>
              <w:t>120.25</w:t>
            </w:r>
          </w:p>
        </w:tc>
        <w:tc>
          <w:tcPr>
            <w:tcW w:w="3000" w:type="dxa"/>
            <w:tcBorders>
              <w:top w:val="nil"/>
              <w:left w:val="nil"/>
              <w:bottom w:val="single" w:color="auto" w:sz="4" w:space="0"/>
              <w:right w:val="single" w:color="auto" w:sz="8" w:space="0"/>
            </w:tcBorders>
            <w:vAlign w:val="center"/>
          </w:tcPr>
          <w:p>
            <w:pPr>
              <w:widowControl/>
              <w:jc w:val="center"/>
              <w:rPr>
                <w:rFonts w:ascii="Times New Roman" w:hAnsi="Times New Roman"/>
                <w:color w:val="auto"/>
                <w:kern w:val="0"/>
                <w:szCs w:val="21"/>
              </w:rPr>
            </w:pPr>
            <w:r>
              <w:rPr>
                <w:color w:val="auto"/>
              </w:rPr>
              <w:t>89.55</w:t>
            </w:r>
          </w:p>
        </w:tc>
      </w:tr>
      <w:tr>
        <w:trPr>
          <w:trHeight w:val="369"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olor w:val="auto"/>
                <w:kern w:val="0"/>
                <w:szCs w:val="21"/>
              </w:rPr>
            </w:pPr>
            <w:r>
              <w:rPr>
                <w:color w:val="auto"/>
              </w:rPr>
              <w:t>20114</w:t>
            </w:r>
          </w:p>
        </w:tc>
        <w:tc>
          <w:tcPr>
            <w:tcW w:w="352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auto"/>
                <w:kern w:val="0"/>
                <w:szCs w:val="21"/>
              </w:rPr>
            </w:pPr>
            <w:r>
              <w:rPr>
                <w:rFonts w:hint="eastAsia"/>
                <w:color w:val="auto"/>
              </w:rPr>
              <w:t>知识产权事务</w:t>
            </w:r>
          </w:p>
        </w:tc>
        <w:tc>
          <w:tcPr>
            <w:tcW w:w="30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eastAsia="仿宋_GB2312"/>
                <w:color w:val="auto"/>
              </w:rPr>
              <w:t>11.63</w:t>
            </w:r>
          </w:p>
        </w:tc>
        <w:tc>
          <w:tcPr>
            <w:tcW w:w="34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0.00</w:t>
            </w:r>
          </w:p>
        </w:tc>
        <w:tc>
          <w:tcPr>
            <w:tcW w:w="3000"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color w:val="auto"/>
                <w:kern w:val="0"/>
                <w:szCs w:val="21"/>
              </w:rPr>
            </w:pPr>
            <w:r>
              <w:rPr>
                <w:color w:val="auto"/>
              </w:rPr>
              <w:t>11.63</w:t>
            </w:r>
          </w:p>
        </w:tc>
      </w:tr>
      <w:tr>
        <w:trPr>
          <w:trHeight w:val="369"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olor w:val="auto"/>
                <w:kern w:val="0"/>
                <w:szCs w:val="21"/>
              </w:rPr>
            </w:pPr>
            <w:r>
              <w:rPr>
                <w:color w:val="auto"/>
              </w:rPr>
              <w:t>2011405</w:t>
            </w:r>
          </w:p>
        </w:tc>
        <w:tc>
          <w:tcPr>
            <w:tcW w:w="352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auto"/>
                <w:kern w:val="0"/>
                <w:szCs w:val="21"/>
              </w:rPr>
            </w:pPr>
            <w:r>
              <w:rPr>
                <w:color w:val="auto"/>
              </w:rPr>
              <w:t xml:space="preserve">  </w:t>
            </w:r>
            <w:r>
              <w:rPr>
                <w:rFonts w:hint="eastAsia"/>
                <w:color w:val="auto"/>
              </w:rPr>
              <w:t>国家知识产权战略</w:t>
            </w:r>
          </w:p>
        </w:tc>
        <w:tc>
          <w:tcPr>
            <w:tcW w:w="30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color w:val="auto"/>
              </w:rPr>
              <w:t>11.63</w:t>
            </w:r>
          </w:p>
        </w:tc>
        <w:tc>
          <w:tcPr>
            <w:tcW w:w="34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color w:val="auto"/>
              </w:rPr>
              <w:t>0.00</w:t>
            </w:r>
          </w:p>
        </w:tc>
        <w:tc>
          <w:tcPr>
            <w:tcW w:w="3000" w:type="dxa"/>
            <w:tcBorders>
              <w:top w:val="nil"/>
              <w:left w:val="nil"/>
              <w:bottom w:val="single" w:color="auto" w:sz="4" w:space="0"/>
              <w:right w:val="single" w:color="auto" w:sz="8" w:space="0"/>
            </w:tcBorders>
            <w:vAlign w:val="center"/>
          </w:tcPr>
          <w:p>
            <w:pPr>
              <w:widowControl/>
              <w:jc w:val="center"/>
              <w:rPr>
                <w:rFonts w:ascii="Times New Roman" w:hAnsi="Times New Roman"/>
                <w:color w:val="auto"/>
                <w:kern w:val="0"/>
                <w:szCs w:val="21"/>
              </w:rPr>
            </w:pPr>
            <w:r>
              <w:rPr>
                <w:color w:val="auto"/>
              </w:rPr>
              <w:t>11.63</w:t>
            </w:r>
          </w:p>
        </w:tc>
      </w:tr>
      <w:tr>
        <w:tblPrEx>
          <w:tblCellMar>
            <w:top w:w="0" w:type="dxa"/>
            <w:left w:w="108" w:type="dxa"/>
            <w:bottom w:w="0" w:type="dxa"/>
            <w:right w:w="108" w:type="dxa"/>
          </w:tblCellMar>
        </w:tblPrEx>
        <w:trPr>
          <w:trHeight w:val="369"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olor w:val="auto"/>
                <w:kern w:val="0"/>
                <w:szCs w:val="21"/>
              </w:rPr>
            </w:pPr>
            <w:r>
              <w:rPr>
                <w:color w:val="auto"/>
              </w:rPr>
              <w:t>20138</w:t>
            </w:r>
          </w:p>
        </w:tc>
        <w:tc>
          <w:tcPr>
            <w:tcW w:w="352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auto"/>
                <w:kern w:val="0"/>
                <w:szCs w:val="21"/>
              </w:rPr>
            </w:pPr>
            <w:r>
              <w:rPr>
                <w:rFonts w:hint="eastAsia"/>
                <w:color w:val="auto"/>
              </w:rPr>
              <w:t>市场监督管理事务</w:t>
            </w:r>
          </w:p>
        </w:tc>
        <w:tc>
          <w:tcPr>
            <w:tcW w:w="30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181.32</w:t>
            </w:r>
          </w:p>
        </w:tc>
        <w:tc>
          <w:tcPr>
            <w:tcW w:w="34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eastAsia="仿宋_GB2312"/>
                <w:color w:val="auto"/>
              </w:rPr>
              <w:t>103.40</w:t>
            </w:r>
          </w:p>
        </w:tc>
        <w:tc>
          <w:tcPr>
            <w:tcW w:w="3000" w:type="dxa"/>
            <w:tcBorders>
              <w:top w:val="nil"/>
              <w:left w:val="nil"/>
              <w:bottom w:val="single" w:color="auto" w:sz="4" w:space="0"/>
              <w:right w:val="single" w:color="auto" w:sz="8" w:space="0"/>
            </w:tcBorders>
            <w:vAlign w:val="center"/>
          </w:tcPr>
          <w:p>
            <w:pPr>
              <w:widowControl/>
              <w:jc w:val="center"/>
              <w:rPr>
                <w:rFonts w:ascii="Times New Roman" w:hAnsi="Times New Roman"/>
                <w:color w:val="auto"/>
                <w:kern w:val="0"/>
                <w:szCs w:val="21"/>
              </w:rPr>
            </w:pPr>
            <w:r>
              <w:rPr>
                <w:color w:val="auto"/>
              </w:rPr>
              <w:t>77.92</w:t>
            </w:r>
          </w:p>
        </w:tc>
      </w:tr>
      <w:tr>
        <w:tblPrEx>
          <w:tblCellMar>
            <w:top w:w="0" w:type="dxa"/>
            <w:left w:w="108" w:type="dxa"/>
            <w:bottom w:w="0" w:type="dxa"/>
            <w:right w:w="108" w:type="dxa"/>
          </w:tblCellMar>
        </w:tblPrEx>
        <w:trPr>
          <w:trHeight w:val="369"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olor w:val="auto"/>
                <w:kern w:val="0"/>
                <w:szCs w:val="21"/>
              </w:rPr>
            </w:pPr>
            <w:r>
              <w:rPr>
                <w:color w:val="auto"/>
              </w:rPr>
              <w:t>2013801</w:t>
            </w:r>
          </w:p>
        </w:tc>
        <w:tc>
          <w:tcPr>
            <w:tcW w:w="352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auto"/>
                <w:kern w:val="0"/>
                <w:szCs w:val="21"/>
              </w:rPr>
            </w:pPr>
            <w:r>
              <w:rPr>
                <w:color w:val="auto"/>
              </w:rPr>
              <w:t xml:space="preserve">  </w:t>
            </w:r>
            <w:r>
              <w:rPr>
                <w:rFonts w:hint="eastAsia"/>
                <w:color w:val="auto"/>
              </w:rPr>
              <w:t>行政运行</w:t>
            </w:r>
          </w:p>
        </w:tc>
        <w:tc>
          <w:tcPr>
            <w:tcW w:w="3000" w:type="dxa"/>
            <w:tcBorders>
              <w:top w:val="nil"/>
              <w:left w:val="nil"/>
              <w:bottom w:val="single" w:color="auto" w:sz="4" w:space="0"/>
              <w:right w:val="single" w:color="auto" w:sz="4" w:space="0"/>
            </w:tcBorders>
            <w:vAlign w:val="center"/>
          </w:tcPr>
          <w:p>
            <w:pPr>
              <w:widowControl/>
              <w:jc w:val="center"/>
              <w:rPr>
                <w:rFonts w:ascii="Times New Roman" w:hAnsi="Times New Roman"/>
                <w:color w:val="auto"/>
                <w:kern w:val="0"/>
                <w:szCs w:val="21"/>
              </w:rPr>
            </w:pPr>
            <w:r>
              <w:rPr>
                <w:color w:val="auto"/>
              </w:rPr>
              <w:t>103.4</w:t>
            </w:r>
          </w:p>
        </w:tc>
        <w:tc>
          <w:tcPr>
            <w:tcW w:w="34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103.40</w:t>
            </w:r>
          </w:p>
        </w:tc>
        <w:tc>
          <w:tcPr>
            <w:tcW w:w="3000"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0.00</w:t>
            </w:r>
          </w:p>
        </w:tc>
      </w:tr>
      <w:tr>
        <w:trPr>
          <w:trHeight w:val="369"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olor w:val="auto"/>
                <w:kern w:val="0"/>
                <w:szCs w:val="21"/>
              </w:rPr>
            </w:pPr>
            <w:r>
              <w:rPr>
                <w:color w:val="auto"/>
              </w:rPr>
              <w:t>2013802</w:t>
            </w:r>
          </w:p>
        </w:tc>
        <w:tc>
          <w:tcPr>
            <w:tcW w:w="352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auto"/>
                <w:kern w:val="0"/>
                <w:szCs w:val="21"/>
              </w:rPr>
            </w:pPr>
            <w:r>
              <w:rPr>
                <w:color w:val="auto"/>
              </w:rPr>
              <w:t xml:space="preserve">  </w:t>
            </w:r>
            <w:r>
              <w:rPr>
                <w:rFonts w:hint="eastAsia"/>
                <w:color w:val="auto"/>
              </w:rPr>
              <w:t>一般行政管理事务</w:t>
            </w:r>
          </w:p>
        </w:tc>
        <w:tc>
          <w:tcPr>
            <w:tcW w:w="30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eastAsia="仿宋_GB2312"/>
                <w:color w:val="auto"/>
              </w:rPr>
              <w:t>77.92</w:t>
            </w:r>
          </w:p>
        </w:tc>
        <w:tc>
          <w:tcPr>
            <w:tcW w:w="3492" w:type="dxa"/>
            <w:tcBorders>
              <w:top w:val="nil"/>
              <w:left w:val="nil"/>
              <w:bottom w:val="single" w:color="auto" w:sz="4" w:space="0"/>
              <w:right w:val="single" w:color="auto" w:sz="4" w:space="0"/>
            </w:tcBorders>
            <w:vAlign w:val="center"/>
          </w:tcPr>
          <w:p>
            <w:pPr>
              <w:widowControl/>
              <w:jc w:val="center"/>
              <w:rPr>
                <w:rFonts w:ascii="Times New Roman" w:hAnsi="Times New Roman"/>
                <w:color w:val="auto"/>
                <w:kern w:val="0"/>
                <w:szCs w:val="21"/>
              </w:rPr>
            </w:pPr>
            <w:r>
              <w:rPr>
                <w:rFonts w:ascii="Times New Roman" w:hAnsi="Times New Roman"/>
                <w:color w:val="auto"/>
                <w:kern w:val="0"/>
                <w:szCs w:val="21"/>
              </w:rPr>
              <w:t>0.00</w:t>
            </w:r>
          </w:p>
        </w:tc>
        <w:tc>
          <w:tcPr>
            <w:tcW w:w="3000" w:type="dxa"/>
            <w:tcBorders>
              <w:top w:val="nil"/>
              <w:left w:val="nil"/>
              <w:bottom w:val="single" w:color="auto" w:sz="4" w:space="0"/>
              <w:right w:val="single" w:color="auto" w:sz="8" w:space="0"/>
            </w:tcBorders>
            <w:vAlign w:val="center"/>
          </w:tcPr>
          <w:p>
            <w:pPr>
              <w:widowControl/>
              <w:jc w:val="center"/>
              <w:rPr>
                <w:rFonts w:ascii="Times New Roman" w:hAnsi="Times New Roman"/>
                <w:color w:val="auto"/>
                <w:kern w:val="0"/>
                <w:szCs w:val="21"/>
              </w:rPr>
            </w:pPr>
            <w:r>
              <w:rPr>
                <w:color w:val="auto"/>
              </w:rPr>
              <w:t>77.92</w:t>
            </w:r>
          </w:p>
        </w:tc>
      </w:tr>
      <w:tr>
        <w:trPr>
          <w:trHeight w:val="369"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olor w:val="auto"/>
                <w:kern w:val="0"/>
                <w:szCs w:val="21"/>
              </w:rPr>
            </w:pPr>
            <w:r>
              <w:rPr>
                <w:color w:val="auto"/>
              </w:rPr>
              <w:t>208</w:t>
            </w:r>
          </w:p>
        </w:tc>
        <w:tc>
          <w:tcPr>
            <w:tcW w:w="352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auto"/>
                <w:kern w:val="0"/>
                <w:szCs w:val="21"/>
              </w:rPr>
            </w:pPr>
            <w:r>
              <w:rPr>
                <w:rFonts w:hint="eastAsia"/>
                <w:color w:val="auto"/>
              </w:rPr>
              <w:t>社会保障和就业支出</w:t>
            </w:r>
          </w:p>
        </w:tc>
        <w:tc>
          <w:tcPr>
            <w:tcW w:w="3000" w:type="dxa"/>
            <w:tcBorders>
              <w:top w:val="nil"/>
              <w:left w:val="nil"/>
              <w:bottom w:val="single" w:color="auto" w:sz="4" w:space="0"/>
              <w:right w:val="single" w:color="auto" w:sz="4" w:space="0"/>
            </w:tcBorders>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11.52</w:t>
            </w:r>
          </w:p>
        </w:tc>
        <w:tc>
          <w:tcPr>
            <w:tcW w:w="34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eastAsia="仿宋_GB2312"/>
                <w:color w:val="auto"/>
              </w:rPr>
              <w:t>11.52</w:t>
            </w:r>
          </w:p>
        </w:tc>
        <w:tc>
          <w:tcPr>
            <w:tcW w:w="3000"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color w:val="auto"/>
                <w:kern w:val="0"/>
                <w:szCs w:val="21"/>
              </w:rPr>
            </w:pPr>
            <w:r>
              <w:rPr>
                <w:color w:val="auto"/>
              </w:rPr>
              <w:t>0.00</w:t>
            </w:r>
          </w:p>
        </w:tc>
      </w:tr>
      <w:tr>
        <w:tblPrEx>
          <w:tblCellMar>
            <w:top w:w="0" w:type="dxa"/>
            <w:left w:w="108" w:type="dxa"/>
            <w:bottom w:w="0" w:type="dxa"/>
            <w:right w:w="108" w:type="dxa"/>
          </w:tblCellMar>
        </w:tblPrEx>
        <w:trPr>
          <w:trHeight w:val="369"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olor w:val="auto"/>
                <w:kern w:val="0"/>
                <w:szCs w:val="21"/>
              </w:rPr>
            </w:pPr>
            <w:r>
              <w:rPr>
                <w:color w:val="auto"/>
              </w:rPr>
              <w:t>20805</w:t>
            </w:r>
          </w:p>
        </w:tc>
        <w:tc>
          <w:tcPr>
            <w:tcW w:w="352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auto"/>
                <w:kern w:val="0"/>
                <w:szCs w:val="21"/>
              </w:rPr>
            </w:pPr>
            <w:r>
              <w:rPr>
                <w:rFonts w:hint="eastAsia"/>
                <w:color w:val="auto"/>
              </w:rPr>
              <w:t>行政事业单位养老支出</w:t>
            </w:r>
          </w:p>
        </w:tc>
        <w:tc>
          <w:tcPr>
            <w:tcW w:w="3000" w:type="dxa"/>
            <w:tcBorders>
              <w:top w:val="nil"/>
              <w:left w:val="nil"/>
              <w:bottom w:val="single" w:color="auto" w:sz="4" w:space="0"/>
              <w:right w:val="single" w:color="auto" w:sz="4" w:space="0"/>
            </w:tcBorders>
            <w:vAlign w:val="center"/>
          </w:tcPr>
          <w:p>
            <w:pPr>
              <w:widowControl/>
              <w:jc w:val="center"/>
              <w:rPr>
                <w:rFonts w:ascii="Times New Roman" w:hAnsi="Times New Roman"/>
                <w:color w:val="auto"/>
                <w:kern w:val="0"/>
                <w:szCs w:val="21"/>
              </w:rPr>
            </w:pPr>
            <w:r>
              <w:rPr>
                <w:color w:val="auto"/>
              </w:rPr>
              <w:t>11.52</w:t>
            </w:r>
          </w:p>
        </w:tc>
        <w:tc>
          <w:tcPr>
            <w:tcW w:w="34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color w:val="auto"/>
              </w:rPr>
              <w:t>11.52</w:t>
            </w:r>
          </w:p>
        </w:tc>
        <w:tc>
          <w:tcPr>
            <w:tcW w:w="3000"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color w:val="auto"/>
                <w:kern w:val="0"/>
                <w:szCs w:val="21"/>
              </w:rPr>
            </w:pPr>
            <w:r>
              <w:rPr>
                <w:color w:val="auto"/>
              </w:rPr>
              <w:t>0.00</w:t>
            </w:r>
          </w:p>
        </w:tc>
      </w:tr>
      <w:tr>
        <w:tblPrEx>
          <w:tblCellMar>
            <w:top w:w="0" w:type="dxa"/>
            <w:left w:w="108" w:type="dxa"/>
            <w:bottom w:w="0" w:type="dxa"/>
            <w:right w:w="108" w:type="dxa"/>
          </w:tblCellMar>
        </w:tblPrEx>
        <w:trPr>
          <w:trHeight w:val="369"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olor w:val="auto"/>
                <w:kern w:val="0"/>
                <w:szCs w:val="21"/>
              </w:rPr>
            </w:pPr>
            <w:r>
              <w:rPr>
                <w:color w:val="auto"/>
              </w:rPr>
              <w:t>2080505</w:t>
            </w:r>
          </w:p>
        </w:tc>
        <w:tc>
          <w:tcPr>
            <w:tcW w:w="352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auto"/>
                <w:kern w:val="0"/>
                <w:szCs w:val="21"/>
              </w:rPr>
            </w:pPr>
            <w:r>
              <w:rPr>
                <w:color w:val="auto"/>
              </w:rPr>
              <w:t xml:space="preserve">  </w:t>
            </w:r>
            <w:r>
              <w:rPr>
                <w:rFonts w:hint="eastAsia"/>
                <w:color w:val="auto"/>
              </w:rPr>
              <w:t>机关事业单位基本养老保险缴费支出</w:t>
            </w:r>
          </w:p>
        </w:tc>
        <w:tc>
          <w:tcPr>
            <w:tcW w:w="30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color w:val="auto"/>
              </w:rPr>
              <w:t>11.52</w:t>
            </w:r>
          </w:p>
        </w:tc>
        <w:tc>
          <w:tcPr>
            <w:tcW w:w="34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color w:val="auto"/>
              </w:rPr>
              <w:t>11.52</w:t>
            </w:r>
          </w:p>
        </w:tc>
        <w:tc>
          <w:tcPr>
            <w:tcW w:w="3000"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color w:val="auto"/>
                <w:kern w:val="0"/>
                <w:szCs w:val="21"/>
              </w:rPr>
            </w:pPr>
            <w:r>
              <w:rPr>
                <w:color w:val="auto"/>
              </w:rPr>
              <w:t>0.00</w:t>
            </w:r>
          </w:p>
        </w:tc>
      </w:tr>
      <w:tr>
        <w:trPr>
          <w:trHeight w:val="369"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olor w:val="auto"/>
                <w:kern w:val="0"/>
                <w:szCs w:val="21"/>
              </w:rPr>
            </w:pPr>
            <w:r>
              <w:rPr>
                <w:color w:val="auto"/>
              </w:rPr>
              <w:t>210</w:t>
            </w:r>
          </w:p>
        </w:tc>
        <w:tc>
          <w:tcPr>
            <w:tcW w:w="352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auto"/>
                <w:kern w:val="0"/>
                <w:szCs w:val="21"/>
              </w:rPr>
            </w:pPr>
            <w:r>
              <w:rPr>
                <w:rFonts w:hint="eastAsia"/>
                <w:color w:val="auto"/>
              </w:rPr>
              <w:t>卫生健康支出</w:t>
            </w:r>
          </w:p>
        </w:tc>
        <w:tc>
          <w:tcPr>
            <w:tcW w:w="30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5.33</w:t>
            </w:r>
          </w:p>
        </w:tc>
        <w:tc>
          <w:tcPr>
            <w:tcW w:w="34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eastAsia="仿宋_GB2312"/>
                <w:color w:val="auto"/>
              </w:rPr>
              <w:t>5.33</w:t>
            </w:r>
          </w:p>
        </w:tc>
        <w:tc>
          <w:tcPr>
            <w:tcW w:w="3000"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color w:val="auto"/>
                <w:kern w:val="0"/>
                <w:szCs w:val="21"/>
              </w:rPr>
            </w:pPr>
            <w:r>
              <w:rPr>
                <w:color w:val="auto"/>
              </w:rPr>
              <w:t>0.00</w:t>
            </w:r>
          </w:p>
        </w:tc>
      </w:tr>
      <w:tr>
        <w:trPr>
          <w:trHeight w:val="369"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olor w:val="auto"/>
                <w:kern w:val="0"/>
                <w:szCs w:val="21"/>
              </w:rPr>
            </w:pPr>
            <w:r>
              <w:rPr>
                <w:color w:val="auto"/>
              </w:rPr>
              <w:t>21011</w:t>
            </w:r>
          </w:p>
        </w:tc>
        <w:tc>
          <w:tcPr>
            <w:tcW w:w="352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auto"/>
                <w:kern w:val="0"/>
                <w:szCs w:val="21"/>
              </w:rPr>
            </w:pPr>
            <w:r>
              <w:rPr>
                <w:rFonts w:hint="eastAsia"/>
                <w:color w:val="auto"/>
              </w:rPr>
              <w:t>行政事业单位医疗</w:t>
            </w:r>
          </w:p>
        </w:tc>
        <w:tc>
          <w:tcPr>
            <w:tcW w:w="30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eastAsia="仿宋_GB2312"/>
                <w:color w:val="auto"/>
              </w:rPr>
              <w:t>5.33</w:t>
            </w:r>
          </w:p>
        </w:tc>
        <w:tc>
          <w:tcPr>
            <w:tcW w:w="34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eastAsia="仿宋_GB2312"/>
                <w:color w:val="auto"/>
              </w:rPr>
              <w:t>5.33</w:t>
            </w:r>
          </w:p>
        </w:tc>
        <w:tc>
          <w:tcPr>
            <w:tcW w:w="3000"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color w:val="auto"/>
                <w:kern w:val="0"/>
                <w:szCs w:val="21"/>
              </w:rPr>
            </w:pPr>
            <w:r>
              <w:rPr>
                <w:color w:val="auto"/>
              </w:rPr>
              <w:t>0.00</w:t>
            </w:r>
          </w:p>
        </w:tc>
      </w:tr>
      <w:tr>
        <w:tblPrEx>
          <w:tblCellMar>
            <w:top w:w="0" w:type="dxa"/>
            <w:left w:w="108" w:type="dxa"/>
            <w:bottom w:w="0" w:type="dxa"/>
            <w:right w:w="108" w:type="dxa"/>
          </w:tblCellMar>
        </w:tblPrEx>
        <w:trPr>
          <w:trHeight w:val="369"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left"/>
              <w:rPr>
                <w:rFonts w:ascii="Times New Roman" w:hAnsi="Times New Roman" w:eastAsia="仿宋_GB2312"/>
                <w:color w:val="auto"/>
                <w:kern w:val="0"/>
                <w:szCs w:val="21"/>
              </w:rPr>
            </w:pPr>
            <w:r>
              <w:rPr>
                <w:color w:val="auto"/>
              </w:rPr>
              <w:t>2101101</w:t>
            </w:r>
          </w:p>
        </w:tc>
        <w:tc>
          <w:tcPr>
            <w:tcW w:w="3527"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color w:val="auto"/>
                <w:kern w:val="0"/>
                <w:szCs w:val="21"/>
              </w:rPr>
            </w:pPr>
            <w:r>
              <w:rPr>
                <w:color w:val="auto"/>
              </w:rPr>
              <w:t xml:space="preserve">  </w:t>
            </w:r>
            <w:r>
              <w:rPr>
                <w:rFonts w:hint="eastAsia"/>
                <w:color w:val="auto"/>
              </w:rPr>
              <w:t>行政单位医疗</w:t>
            </w:r>
          </w:p>
        </w:tc>
        <w:tc>
          <w:tcPr>
            <w:tcW w:w="3000"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olor w:val="auto"/>
                <w:kern w:val="0"/>
                <w:szCs w:val="21"/>
              </w:rPr>
            </w:pPr>
            <w:r>
              <w:rPr>
                <w:rFonts w:eastAsia="仿宋_GB2312"/>
                <w:color w:val="auto"/>
              </w:rPr>
              <w:t>5.33</w:t>
            </w:r>
          </w:p>
        </w:tc>
        <w:tc>
          <w:tcPr>
            <w:tcW w:w="3492"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olor w:val="auto"/>
                <w:kern w:val="0"/>
                <w:szCs w:val="21"/>
              </w:rPr>
            </w:pPr>
            <w:r>
              <w:rPr>
                <w:rFonts w:eastAsia="仿宋_GB2312"/>
                <w:color w:val="auto"/>
              </w:rPr>
              <w:t>5.33</w:t>
            </w:r>
          </w:p>
        </w:tc>
        <w:tc>
          <w:tcPr>
            <w:tcW w:w="3000" w:type="dxa"/>
            <w:tcBorders>
              <w:top w:val="nil"/>
              <w:left w:val="nil"/>
              <w:bottom w:val="single" w:color="auto" w:sz="8" w:space="0"/>
              <w:right w:val="single" w:color="auto" w:sz="8" w:space="0"/>
            </w:tcBorders>
            <w:vAlign w:val="center"/>
          </w:tcPr>
          <w:p>
            <w:pPr>
              <w:widowControl/>
              <w:jc w:val="center"/>
              <w:rPr>
                <w:rFonts w:ascii="Times New Roman" w:hAnsi="Times New Roman" w:eastAsia="仿宋_GB2312"/>
                <w:color w:val="auto"/>
                <w:kern w:val="0"/>
                <w:szCs w:val="21"/>
              </w:rPr>
            </w:pPr>
            <w:r>
              <w:rPr>
                <w:color w:val="auto"/>
              </w:rPr>
              <w:t>0.00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vAlign w:val="center"/>
          </w:tcPr>
          <w:p>
            <w:pPr>
              <w:widowControl/>
              <w:jc w:val="left"/>
              <w:rPr>
                <w:rFonts w:ascii="Times New Roman" w:hAnsi="Times New Roman" w:eastAsia="仿宋_GB2312"/>
                <w:color w:val="auto"/>
                <w:kern w:val="0"/>
                <w:szCs w:val="21"/>
              </w:rPr>
            </w:pPr>
            <w:r>
              <w:rPr>
                <w:rFonts w:hint="eastAsia" w:ascii="Times New Roman" w:hAnsi="Times New Roman" w:eastAsia="仿宋_GB2312"/>
                <w:color w:val="auto"/>
                <w:kern w:val="0"/>
                <w:szCs w:val="21"/>
              </w:rPr>
              <w:t>注：本表反映部门本年度一般公共预算财政拨款支出情况。</w:t>
            </w:r>
          </w:p>
        </w:tc>
      </w:tr>
    </w:tbl>
    <w:p>
      <w:pPr>
        <w:widowControl/>
        <w:jc w:val="left"/>
        <w:rPr>
          <w:rFonts w:ascii="Times New Roman" w:hAnsi="Times New Roman" w:eastAsia="仿宋_GB2312"/>
          <w:bCs/>
          <w:color w:val="auto"/>
          <w:kern w:val="0"/>
          <w:szCs w:val="21"/>
        </w:rPr>
      </w:pPr>
    </w:p>
    <w:p>
      <w:pPr>
        <w:widowControl/>
        <w:jc w:val="left"/>
        <w:rPr>
          <w:rFonts w:ascii="Times New Roman" w:hAnsi="Times New Roman" w:eastAsia="仿宋_GB2312"/>
          <w:bCs/>
          <w:color w:val="auto"/>
          <w:kern w:val="0"/>
          <w:szCs w:val="21"/>
        </w:rPr>
      </w:pPr>
      <w:r>
        <w:rPr>
          <w:rFonts w:ascii="Times New Roman" w:hAnsi="Times New Roman" w:eastAsia="仿宋_GB2312"/>
          <w:bCs/>
          <w:color w:val="auto"/>
          <w:kern w:val="0"/>
          <w:szCs w:val="21"/>
        </w:rPr>
        <w:br w:type="page"/>
      </w:r>
    </w:p>
    <w:tbl>
      <w:tblPr>
        <w:tblStyle w:val="7"/>
        <w:tblW w:w="0" w:type="auto"/>
        <w:tblInd w:w="0" w:type="dxa"/>
        <w:tblLayout w:type="autofit"/>
        <w:tblCellMar>
          <w:top w:w="0" w:type="dxa"/>
          <w:left w:w="108" w:type="dxa"/>
          <w:bottom w:w="0" w:type="dxa"/>
          <w:right w:w="108" w:type="dxa"/>
        </w:tblCellMar>
      </w:tblPr>
      <w:tblGrid>
        <w:gridCol w:w="1338"/>
        <w:gridCol w:w="3366"/>
        <w:gridCol w:w="805"/>
        <w:gridCol w:w="1001"/>
        <w:gridCol w:w="2316"/>
        <w:gridCol w:w="643"/>
        <w:gridCol w:w="1133"/>
        <w:gridCol w:w="4206"/>
        <w:gridCol w:w="806"/>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noWrap/>
            <w:vAlign w:val="center"/>
          </w:tcPr>
          <w:p>
            <w:pPr>
              <w:widowControl/>
              <w:jc w:val="center"/>
              <w:rPr>
                <w:rFonts w:ascii="华文中宋" w:hAnsi="华文中宋" w:eastAsia="华文中宋" w:cs="宋体"/>
                <w:color w:val="auto"/>
                <w:kern w:val="0"/>
                <w:sz w:val="32"/>
                <w:szCs w:val="32"/>
              </w:rPr>
            </w:pPr>
            <w:bookmarkStart w:id="2" w:name="RANGE!A1:I34"/>
            <w:bookmarkEnd w:id="2"/>
            <w:r>
              <w:rPr>
                <w:rFonts w:hint="eastAsia" w:ascii="华文中宋" w:hAnsi="华文中宋" w:eastAsia="华文中宋" w:cs="宋体"/>
                <w:color w:val="auto"/>
                <w:kern w:val="0"/>
                <w:sz w:val="32"/>
                <w:szCs w:val="32"/>
              </w:rPr>
              <w:t>一般公共预算财政拨款基本支出决算表</w:t>
            </w:r>
          </w:p>
          <w:p>
            <w:pPr>
              <w:widowControl/>
              <w:wordWrap w:val="0"/>
              <w:rPr>
                <w:rFonts w:ascii="Times New Roman" w:hAnsi="Times New Roman" w:eastAsia="仿宋_GB2312"/>
                <w:color w:val="auto"/>
                <w:kern w:val="0"/>
                <w:szCs w:val="21"/>
              </w:rPr>
            </w:pPr>
            <w:r>
              <w:rPr>
                <w:rFonts w:hint="eastAsia" w:ascii="Times New Roman" w:hAnsi="Times New Roman" w:eastAsia="仿宋_GB2312"/>
                <w:color w:val="auto"/>
                <w:kern w:val="0"/>
                <w:szCs w:val="21"/>
              </w:rPr>
              <w:t>部门：</w:t>
            </w:r>
            <w:r>
              <w:rPr>
                <w:rFonts w:hint="eastAsia" w:ascii="宋体" w:hAnsi="宋体" w:cs="宋体"/>
                <w:color w:val="auto"/>
                <w:kern w:val="0"/>
                <w:sz w:val="20"/>
                <w:szCs w:val="20"/>
              </w:rPr>
              <w:t>岳阳市市场监督管理局城陵矶新港区分局</w:t>
            </w:r>
            <w:r>
              <w:rPr>
                <w:rFonts w:hint="eastAsia" w:ascii="Times New Roman" w:hAnsi="Times New Roman" w:eastAsia="仿宋_GB2312"/>
                <w:color w:val="auto"/>
                <w:kern w:val="0"/>
                <w:szCs w:val="21"/>
              </w:rPr>
              <w:t>公开</w:t>
            </w:r>
            <w:r>
              <w:rPr>
                <w:rFonts w:ascii="Times New Roman" w:hAnsi="Times New Roman" w:eastAsia="仿宋_GB2312"/>
                <w:color w:val="auto"/>
                <w:kern w:val="0"/>
                <w:szCs w:val="21"/>
              </w:rPr>
              <w:t>06</w:t>
            </w:r>
            <w:r>
              <w:rPr>
                <w:rFonts w:hint="eastAsia" w:ascii="Times New Roman" w:hAnsi="Times New Roman" w:eastAsia="仿宋_GB2312"/>
                <w:color w:val="auto"/>
                <w:kern w:val="0"/>
                <w:szCs w:val="21"/>
              </w:rPr>
              <w:t>表</w:t>
            </w:r>
          </w:p>
          <w:p>
            <w:pPr>
              <w:widowControl/>
              <w:jc w:val="center"/>
              <w:rPr>
                <w:rFonts w:ascii="华文中宋" w:hAnsi="华文中宋" w:eastAsia="华文中宋" w:cs="宋体"/>
                <w:color w:val="auto"/>
                <w:kern w:val="0"/>
                <w:szCs w:val="32"/>
              </w:rPr>
            </w:pPr>
            <w:r>
              <w:rPr>
                <w:rFonts w:hint="eastAsia" w:ascii="Times New Roman" w:hAnsi="Times New Roman" w:eastAsia="仿宋_GB2312"/>
                <w:color w:val="auto"/>
                <w:kern w:val="0"/>
                <w:szCs w:val="21"/>
              </w:rPr>
              <w:t>单位：万元</w:t>
            </w:r>
          </w:p>
        </w:tc>
      </w:tr>
      <w:tr>
        <w:tblPrEx>
          <w:tblCellMar>
            <w:top w:w="0" w:type="dxa"/>
            <w:left w:w="108" w:type="dxa"/>
            <w:bottom w:w="0" w:type="dxa"/>
            <w:right w:w="108" w:type="dxa"/>
          </w:tblCellMar>
        </w:tblPrEx>
        <w:trPr>
          <w:trHeight w:val="818" w:hRule="atLeast"/>
        </w:trPr>
        <w:tc>
          <w:tcPr>
            <w:tcW w:w="13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Cs w:val="20"/>
              </w:rPr>
            </w:pPr>
            <w:r>
              <w:rPr>
                <w:rFonts w:hint="eastAsia" w:ascii="宋体" w:hAnsi="宋体" w:cs="宋体"/>
                <w:color w:val="auto"/>
                <w:kern w:val="0"/>
                <w:sz w:val="20"/>
                <w:szCs w:val="20"/>
              </w:rPr>
              <w:t>经济分类科目编码</w:t>
            </w:r>
          </w:p>
        </w:tc>
        <w:tc>
          <w:tcPr>
            <w:tcW w:w="3366"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Cs w:val="20"/>
              </w:rPr>
            </w:pPr>
            <w:r>
              <w:rPr>
                <w:rFonts w:hint="eastAsia" w:ascii="宋体" w:hAnsi="宋体" w:cs="宋体"/>
                <w:color w:val="auto"/>
                <w:kern w:val="0"/>
                <w:szCs w:val="20"/>
              </w:rPr>
              <w:t>科目名称</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Cs w:val="20"/>
              </w:rPr>
            </w:pPr>
            <w:r>
              <w:rPr>
                <w:rFonts w:hint="eastAsia" w:ascii="宋体" w:hAnsi="宋体" w:cs="宋体"/>
                <w:color w:val="auto"/>
                <w:kern w:val="0"/>
                <w:szCs w:val="20"/>
              </w:rPr>
              <w:t>决算数</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Cs w:val="20"/>
              </w:rPr>
            </w:pPr>
            <w:r>
              <w:rPr>
                <w:rFonts w:hint="eastAsia" w:ascii="宋体" w:hAnsi="宋体" w:cs="宋体"/>
                <w:color w:val="auto"/>
                <w:kern w:val="0"/>
                <w:szCs w:val="20"/>
              </w:rPr>
              <w:t>经济分类科目编码</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Cs w:val="20"/>
              </w:rPr>
            </w:pPr>
            <w:r>
              <w:rPr>
                <w:rFonts w:hint="eastAsia" w:ascii="宋体" w:hAnsi="宋体" w:cs="宋体"/>
                <w:color w:val="auto"/>
                <w:kern w:val="0"/>
                <w:szCs w:val="20"/>
              </w:rPr>
              <w:t>科目名称</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Cs w:val="20"/>
              </w:rPr>
            </w:pPr>
            <w:r>
              <w:rPr>
                <w:rFonts w:hint="eastAsia" w:ascii="宋体" w:hAnsi="宋体" w:cs="宋体"/>
                <w:color w:val="auto"/>
                <w:kern w:val="0"/>
                <w:szCs w:val="20"/>
              </w:rPr>
              <w:t>决算数</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Cs w:val="20"/>
              </w:rPr>
            </w:pPr>
            <w:r>
              <w:rPr>
                <w:rFonts w:hint="eastAsia" w:ascii="宋体" w:hAnsi="宋体" w:cs="宋体"/>
                <w:color w:val="auto"/>
                <w:kern w:val="0"/>
                <w:szCs w:val="20"/>
              </w:rPr>
              <w:t>经济分类科目编码</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Cs w:val="20"/>
              </w:rPr>
            </w:pPr>
            <w:r>
              <w:rPr>
                <w:rFonts w:hint="eastAsia" w:ascii="宋体" w:hAnsi="宋体" w:cs="宋体"/>
                <w:color w:val="auto"/>
                <w:kern w:val="0"/>
                <w:szCs w:val="20"/>
              </w:rPr>
              <w:t>科目名称</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Cs w:val="20"/>
              </w:rPr>
            </w:pPr>
            <w:r>
              <w:rPr>
                <w:rFonts w:hint="eastAsia" w:ascii="宋体" w:hAnsi="宋体" w:cs="宋体"/>
                <w:color w:val="auto"/>
                <w:kern w:val="0"/>
                <w:szCs w:val="20"/>
              </w:rPr>
              <w:t>决算数</w:t>
            </w:r>
          </w:p>
        </w:tc>
      </w:tr>
      <w:tr>
        <w:tblPrEx>
          <w:tblCellMar>
            <w:top w:w="0" w:type="dxa"/>
            <w:left w:w="108" w:type="dxa"/>
            <w:bottom w:w="0" w:type="dxa"/>
            <w:right w:w="108" w:type="dxa"/>
          </w:tblCellMar>
        </w:tblPrEx>
        <w:trPr>
          <w:trHeight w:val="272"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301</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hint="eastAsia" w:ascii="宋体" w:hAnsi="宋体" w:cs="宋体"/>
                <w:color w:val="auto"/>
                <w:kern w:val="0"/>
                <w:szCs w:val="20"/>
              </w:rPr>
              <w:t>工资福利支出</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111.44</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302</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hint="eastAsia" w:ascii="宋体" w:hAnsi="宋体" w:cs="宋体"/>
                <w:color w:val="auto"/>
                <w:kern w:val="0"/>
                <w:szCs w:val="20"/>
              </w:rPr>
              <w:t>商品和服务支出</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8.81</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307</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hint="eastAsia" w:ascii="宋体" w:hAnsi="宋体" w:cs="宋体"/>
                <w:color w:val="auto"/>
                <w:kern w:val="0"/>
                <w:szCs w:val="20"/>
              </w:rPr>
              <w:t>债务利息及费用支出</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cs="宋体"/>
                <w:color w:val="auto"/>
                <w:kern w:val="0"/>
                <w:szCs w:val="20"/>
              </w:rPr>
              <w:t>0.00</w:t>
            </w:r>
          </w:p>
        </w:tc>
      </w:tr>
      <w:tr>
        <w:tblPrEx>
          <w:tblCellMar>
            <w:top w:w="0" w:type="dxa"/>
            <w:left w:w="108" w:type="dxa"/>
            <w:bottom w:w="0" w:type="dxa"/>
            <w:right w:w="108" w:type="dxa"/>
          </w:tblCellMar>
        </w:tblPrEx>
        <w:trPr>
          <w:trHeight w:val="272"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30101</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基本工资</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49.60</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30201</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办公费</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1.52</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30701</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国内债务付息</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cs="宋体"/>
                <w:color w:val="auto"/>
                <w:kern w:val="0"/>
                <w:szCs w:val="20"/>
              </w:rPr>
              <w:t>0.00</w:t>
            </w:r>
          </w:p>
        </w:tc>
      </w:tr>
      <w:tr>
        <w:tblPrEx>
          <w:tblCellMar>
            <w:top w:w="0" w:type="dxa"/>
            <w:left w:w="108" w:type="dxa"/>
            <w:bottom w:w="0" w:type="dxa"/>
            <w:right w:w="108" w:type="dxa"/>
          </w:tblCellMar>
        </w:tblPrEx>
        <w:trPr>
          <w:trHeight w:val="272"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30102</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津贴补贴</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30.81</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30202</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印刷费</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cs="宋体"/>
                <w:color w:val="auto"/>
                <w:kern w:val="0"/>
                <w:szCs w:val="20"/>
              </w:rPr>
              <w:t>0.00</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30702</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国外债务付息</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cs="宋体"/>
                <w:color w:val="auto"/>
                <w:kern w:val="0"/>
                <w:szCs w:val="20"/>
              </w:rPr>
              <w:t>0.00</w:t>
            </w:r>
          </w:p>
        </w:tc>
      </w:tr>
      <w:tr>
        <w:tblPrEx>
          <w:tblCellMar>
            <w:top w:w="0" w:type="dxa"/>
            <w:left w:w="108" w:type="dxa"/>
            <w:bottom w:w="0" w:type="dxa"/>
            <w:right w:w="108" w:type="dxa"/>
          </w:tblCellMar>
        </w:tblPrEx>
        <w:trPr>
          <w:trHeight w:val="272"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30103</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奖金</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cs="宋体"/>
                <w:color w:val="auto"/>
                <w:kern w:val="0"/>
                <w:szCs w:val="20"/>
              </w:rPr>
              <w:t>0.00</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30203</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咨询费</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cs="宋体"/>
                <w:color w:val="auto"/>
                <w:kern w:val="0"/>
                <w:szCs w:val="20"/>
              </w:rPr>
              <w:t>0.00</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310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hint="eastAsia" w:ascii="宋体" w:hAnsi="宋体" w:cs="宋体"/>
                <w:color w:val="auto"/>
                <w:kern w:val="0"/>
                <w:szCs w:val="20"/>
              </w:rPr>
              <w:t>资本性支出</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cs="宋体"/>
                <w:color w:val="auto"/>
                <w:kern w:val="0"/>
                <w:szCs w:val="20"/>
              </w:rPr>
              <w:t>0.00</w:t>
            </w:r>
          </w:p>
        </w:tc>
      </w:tr>
      <w:tr>
        <w:tblPrEx>
          <w:tblCellMar>
            <w:top w:w="0" w:type="dxa"/>
            <w:left w:w="108" w:type="dxa"/>
            <w:bottom w:w="0" w:type="dxa"/>
            <w:right w:w="108" w:type="dxa"/>
          </w:tblCellMar>
        </w:tblPrEx>
        <w:trPr>
          <w:trHeight w:val="272"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30106</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伙食补助费</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cs="宋体"/>
                <w:color w:val="auto"/>
                <w:kern w:val="0"/>
                <w:szCs w:val="20"/>
              </w:rPr>
              <w:t>0.00</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30204</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手续费</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cs="宋体"/>
                <w:color w:val="auto"/>
                <w:kern w:val="0"/>
                <w:szCs w:val="20"/>
              </w:rPr>
              <w:t>0.00</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31001</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房屋建筑物购建</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cs="宋体"/>
                <w:color w:val="auto"/>
                <w:kern w:val="0"/>
                <w:szCs w:val="20"/>
              </w:rPr>
              <w:t>0.00</w:t>
            </w:r>
          </w:p>
        </w:tc>
      </w:tr>
      <w:tr>
        <w:tblPrEx>
          <w:tblCellMar>
            <w:top w:w="0" w:type="dxa"/>
            <w:left w:w="108" w:type="dxa"/>
            <w:bottom w:w="0" w:type="dxa"/>
            <w:right w:w="108" w:type="dxa"/>
          </w:tblCellMar>
        </w:tblPrEx>
        <w:trPr>
          <w:trHeight w:val="272"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30107</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绩效工资</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cs="宋体"/>
                <w:color w:val="auto"/>
                <w:kern w:val="0"/>
                <w:szCs w:val="20"/>
              </w:rPr>
              <w:t>0.00</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30205</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水费</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cs="宋体"/>
                <w:color w:val="auto"/>
                <w:kern w:val="0"/>
                <w:szCs w:val="20"/>
              </w:rPr>
              <w:t>0.00</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31002</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办公设备购置</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cs="宋体"/>
                <w:color w:val="auto"/>
                <w:kern w:val="0"/>
                <w:szCs w:val="20"/>
              </w:rPr>
              <w:t>0.00</w:t>
            </w:r>
          </w:p>
        </w:tc>
      </w:tr>
      <w:tr>
        <w:tblPrEx>
          <w:tblCellMar>
            <w:top w:w="0" w:type="dxa"/>
            <w:left w:w="108" w:type="dxa"/>
            <w:bottom w:w="0" w:type="dxa"/>
            <w:right w:w="108" w:type="dxa"/>
          </w:tblCellMar>
        </w:tblPrEx>
        <w:trPr>
          <w:trHeight w:val="272"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30108</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机关事业单位基本养老保险缴费</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12.59</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30206</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电费</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cs="宋体"/>
                <w:color w:val="auto"/>
                <w:kern w:val="0"/>
                <w:szCs w:val="20"/>
              </w:rPr>
              <w:t>0.00</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31003</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专用设备购置</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cs="宋体"/>
                <w:color w:val="auto"/>
                <w:kern w:val="0"/>
                <w:szCs w:val="20"/>
              </w:rPr>
              <w:t>0.00</w:t>
            </w:r>
          </w:p>
        </w:tc>
      </w:tr>
      <w:tr>
        <w:tblPrEx>
          <w:tblCellMar>
            <w:top w:w="0" w:type="dxa"/>
            <w:left w:w="108" w:type="dxa"/>
            <w:bottom w:w="0" w:type="dxa"/>
            <w:right w:w="108" w:type="dxa"/>
          </w:tblCellMar>
        </w:tblPrEx>
        <w:trPr>
          <w:trHeight w:val="272"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30109</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职业年金缴费</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cs="宋体"/>
                <w:color w:val="auto"/>
                <w:kern w:val="0"/>
                <w:szCs w:val="20"/>
              </w:rPr>
              <w:t>0.00</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30207</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邮电费</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0.04</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31005</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基础设施建设</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cs="宋体"/>
                <w:color w:val="auto"/>
                <w:kern w:val="0"/>
                <w:szCs w:val="20"/>
              </w:rPr>
              <w:t>0.00</w:t>
            </w:r>
          </w:p>
        </w:tc>
      </w:tr>
      <w:tr>
        <w:tblPrEx>
          <w:tblCellMar>
            <w:top w:w="0" w:type="dxa"/>
            <w:left w:w="108" w:type="dxa"/>
            <w:bottom w:w="0" w:type="dxa"/>
            <w:right w:w="108" w:type="dxa"/>
          </w:tblCellMar>
        </w:tblPrEx>
        <w:trPr>
          <w:trHeight w:val="272"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30110</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职工基本医疗保险缴费</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12.33</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30208</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取暖费</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cs="宋体"/>
                <w:color w:val="auto"/>
                <w:kern w:val="0"/>
                <w:szCs w:val="20"/>
              </w:rPr>
              <w:t>0.00</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31006</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大型修缮</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cs="宋体"/>
                <w:color w:val="auto"/>
                <w:kern w:val="0"/>
                <w:szCs w:val="20"/>
              </w:rPr>
              <w:t>0.00</w:t>
            </w:r>
          </w:p>
        </w:tc>
      </w:tr>
      <w:tr>
        <w:tblPrEx>
          <w:tblCellMar>
            <w:top w:w="0" w:type="dxa"/>
            <w:left w:w="108" w:type="dxa"/>
            <w:bottom w:w="0" w:type="dxa"/>
            <w:right w:w="108" w:type="dxa"/>
          </w:tblCellMar>
        </w:tblPrEx>
        <w:trPr>
          <w:trHeight w:val="272"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30111</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公务员医疗补助缴费</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cs="宋体"/>
                <w:color w:val="auto"/>
                <w:kern w:val="0"/>
                <w:szCs w:val="20"/>
              </w:rPr>
              <w:t>0.00</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30209</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物业管理费</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cs="宋体"/>
                <w:color w:val="auto"/>
                <w:kern w:val="0"/>
                <w:szCs w:val="20"/>
              </w:rPr>
              <w:t>0.00</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31007</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信息网络及软件购置更新</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cs="宋体"/>
                <w:color w:val="auto"/>
                <w:kern w:val="0"/>
                <w:szCs w:val="20"/>
              </w:rPr>
              <w:t>0.00</w:t>
            </w:r>
          </w:p>
        </w:tc>
      </w:tr>
      <w:tr>
        <w:tblPrEx>
          <w:tblCellMar>
            <w:top w:w="0" w:type="dxa"/>
            <w:left w:w="108" w:type="dxa"/>
            <w:bottom w:w="0" w:type="dxa"/>
            <w:right w:w="108" w:type="dxa"/>
          </w:tblCellMar>
        </w:tblPrEx>
        <w:trPr>
          <w:trHeight w:val="272"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30112</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其他社会保障缴费</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0.97</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30211</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差旅费</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0.96</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31008</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物资储备</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cs="宋体"/>
                <w:color w:val="auto"/>
                <w:kern w:val="0"/>
                <w:szCs w:val="20"/>
              </w:rPr>
              <w:t>0.00</w:t>
            </w:r>
          </w:p>
        </w:tc>
      </w:tr>
      <w:tr>
        <w:tblPrEx>
          <w:tblCellMar>
            <w:top w:w="0" w:type="dxa"/>
            <w:left w:w="108" w:type="dxa"/>
            <w:bottom w:w="0" w:type="dxa"/>
            <w:right w:w="108" w:type="dxa"/>
          </w:tblCellMar>
        </w:tblPrEx>
        <w:trPr>
          <w:trHeight w:val="272"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30113</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住房公积金</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5.14</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30212</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因公出国（境）费用</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cs="宋体"/>
                <w:color w:val="auto"/>
                <w:kern w:val="0"/>
                <w:szCs w:val="20"/>
              </w:rPr>
              <w:t>0.00</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31009</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土地补偿</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cs="宋体"/>
                <w:color w:val="auto"/>
                <w:kern w:val="0"/>
                <w:szCs w:val="20"/>
              </w:rPr>
              <w:t>0.00</w:t>
            </w:r>
          </w:p>
        </w:tc>
      </w:tr>
      <w:tr>
        <w:tblPrEx>
          <w:tblCellMar>
            <w:top w:w="0" w:type="dxa"/>
            <w:left w:w="108" w:type="dxa"/>
            <w:bottom w:w="0" w:type="dxa"/>
            <w:right w:w="108" w:type="dxa"/>
          </w:tblCellMar>
        </w:tblPrEx>
        <w:trPr>
          <w:trHeight w:val="272"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30114</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医疗费</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cs="宋体"/>
                <w:color w:val="auto"/>
                <w:kern w:val="0"/>
                <w:szCs w:val="20"/>
              </w:rPr>
              <w:t>0.00</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30213</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维修（护）费</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cs="宋体"/>
                <w:color w:val="auto"/>
                <w:kern w:val="0"/>
                <w:szCs w:val="20"/>
              </w:rPr>
              <w:t>0.00</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31010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安置补助</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cs="宋体"/>
                <w:color w:val="auto"/>
                <w:kern w:val="0"/>
                <w:szCs w:val="20"/>
              </w:rPr>
              <w:t>0.00</w:t>
            </w:r>
          </w:p>
        </w:tc>
      </w:tr>
      <w:tr>
        <w:tblPrEx>
          <w:tblCellMar>
            <w:top w:w="0" w:type="dxa"/>
            <w:left w:w="108" w:type="dxa"/>
            <w:bottom w:w="0" w:type="dxa"/>
            <w:right w:w="108" w:type="dxa"/>
          </w:tblCellMar>
        </w:tblPrEx>
        <w:trPr>
          <w:trHeight w:val="272"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30199</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其他工资福利支出</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cs="宋体"/>
                <w:color w:val="auto"/>
                <w:kern w:val="0"/>
                <w:szCs w:val="20"/>
              </w:rPr>
              <w:t>0.00</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30214</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租赁费</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cs="宋体"/>
                <w:color w:val="auto"/>
                <w:kern w:val="0"/>
                <w:szCs w:val="20"/>
              </w:rPr>
              <w:t>0.00</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31011</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地上附着物和青苗补偿</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cs="宋体"/>
                <w:color w:val="auto"/>
                <w:kern w:val="0"/>
                <w:szCs w:val="20"/>
              </w:rPr>
              <w:t>0.00</w:t>
            </w:r>
          </w:p>
        </w:tc>
      </w:tr>
      <w:tr>
        <w:tblPrEx>
          <w:tblCellMar>
            <w:top w:w="0" w:type="dxa"/>
            <w:left w:w="108" w:type="dxa"/>
            <w:bottom w:w="0" w:type="dxa"/>
            <w:right w:w="108" w:type="dxa"/>
          </w:tblCellMar>
        </w:tblPrEx>
        <w:trPr>
          <w:trHeight w:val="272"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303</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hint="eastAsia" w:ascii="宋体" w:hAnsi="宋体" w:cs="宋体"/>
                <w:color w:val="auto"/>
                <w:kern w:val="0"/>
                <w:szCs w:val="20"/>
              </w:rPr>
              <w:t>对个人和家庭的补助</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cs="宋体"/>
                <w:color w:val="auto"/>
                <w:kern w:val="0"/>
                <w:szCs w:val="20"/>
              </w:rPr>
              <w:t>0.00</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30215</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会议费</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cs="宋体"/>
                <w:color w:val="auto"/>
                <w:kern w:val="0"/>
                <w:szCs w:val="20"/>
              </w:rPr>
              <w:t>0.00</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31012</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拆迁补偿</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cs="宋体"/>
                <w:color w:val="auto"/>
                <w:kern w:val="0"/>
                <w:szCs w:val="20"/>
              </w:rPr>
              <w:t>0.00</w:t>
            </w:r>
          </w:p>
        </w:tc>
      </w:tr>
      <w:tr>
        <w:tblPrEx>
          <w:tblCellMar>
            <w:top w:w="0" w:type="dxa"/>
            <w:left w:w="108" w:type="dxa"/>
            <w:bottom w:w="0" w:type="dxa"/>
            <w:right w:w="108" w:type="dxa"/>
          </w:tblCellMar>
        </w:tblPrEx>
        <w:trPr>
          <w:trHeight w:val="272"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30301</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离休费</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cs="宋体"/>
                <w:color w:val="auto"/>
                <w:kern w:val="0"/>
                <w:szCs w:val="20"/>
              </w:rPr>
              <w:t>0.00</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30216</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培训费</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cs="宋体"/>
                <w:color w:val="auto"/>
                <w:kern w:val="0"/>
                <w:szCs w:val="20"/>
              </w:rPr>
              <w:t>0.00</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31013</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公务用车购置</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cs="宋体"/>
                <w:color w:val="auto"/>
                <w:kern w:val="0"/>
                <w:szCs w:val="20"/>
              </w:rPr>
              <w:t>0.00</w:t>
            </w:r>
          </w:p>
        </w:tc>
      </w:tr>
      <w:tr>
        <w:tblPrEx>
          <w:tblCellMar>
            <w:top w:w="0" w:type="dxa"/>
            <w:left w:w="108" w:type="dxa"/>
            <w:bottom w:w="0" w:type="dxa"/>
            <w:right w:w="108" w:type="dxa"/>
          </w:tblCellMar>
        </w:tblPrEx>
        <w:trPr>
          <w:trHeight w:val="272"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30302</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退休费</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cs="宋体"/>
                <w:color w:val="auto"/>
                <w:kern w:val="0"/>
                <w:szCs w:val="20"/>
              </w:rPr>
              <w:t>0.00</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30217</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公务接待费</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0.55</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31019</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其他交通工具购置</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cs="宋体"/>
                <w:color w:val="auto"/>
                <w:kern w:val="0"/>
                <w:szCs w:val="20"/>
              </w:rPr>
              <w:t>0.00</w:t>
            </w:r>
          </w:p>
        </w:tc>
      </w:tr>
      <w:tr>
        <w:tblPrEx>
          <w:tblCellMar>
            <w:top w:w="0" w:type="dxa"/>
            <w:left w:w="108" w:type="dxa"/>
            <w:bottom w:w="0" w:type="dxa"/>
            <w:right w:w="108" w:type="dxa"/>
          </w:tblCellMar>
        </w:tblPrEx>
        <w:trPr>
          <w:trHeight w:val="272"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30303</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退职（役）费</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cs="宋体"/>
                <w:color w:val="auto"/>
                <w:kern w:val="0"/>
                <w:szCs w:val="20"/>
              </w:rPr>
              <w:t>0.00</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30218</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专用材料费</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cs="宋体"/>
                <w:color w:val="auto"/>
                <w:kern w:val="0"/>
                <w:szCs w:val="20"/>
              </w:rPr>
              <w:t>0.00</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31021</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文物和陈列品购置</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cs="宋体"/>
                <w:color w:val="auto"/>
                <w:kern w:val="0"/>
                <w:szCs w:val="20"/>
              </w:rPr>
              <w:t>0.00</w:t>
            </w:r>
          </w:p>
        </w:tc>
      </w:tr>
      <w:tr>
        <w:tblPrEx>
          <w:tblCellMar>
            <w:top w:w="0" w:type="dxa"/>
            <w:left w:w="108" w:type="dxa"/>
            <w:bottom w:w="0" w:type="dxa"/>
            <w:right w:w="108" w:type="dxa"/>
          </w:tblCellMar>
        </w:tblPrEx>
        <w:trPr>
          <w:trHeight w:val="272"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30304</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抚恤金</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cs="宋体"/>
                <w:color w:val="auto"/>
                <w:kern w:val="0"/>
                <w:szCs w:val="20"/>
              </w:rPr>
              <w:t>0.00</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30224</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被装购置费</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cs="宋体"/>
                <w:color w:val="auto"/>
                <w:kern w:val="0"/>
                <w:szCs w:val="20"/>
              </w:rPr>
              <w:t>0.00</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31022</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无形资产购置</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cs="宋体"/>
                <w:color w:val="auto"/>
                <w:kern w:val="0"/>
                <w:szCs w:val="20"/>
              </w:rPr>
              <w:t>0.00</w:t>
            </w:r>
          </w:p>
        </w:tc>
      </w:tr>
      <w:tr>
        <w:tblPrEx>
          <w:tblCellMar>
            <w:top w:w="0" w:type="dxa"/>
            <w:left w:w="108" w:type="dxa"/>
            <w:bottom w:w="0" w:type="dxa"/>
            <w:right w:w="108" w:type="dxa"/>
          </w:tblCellMar>
        </w:tblPrEx>
        <w:trPr>
          <w:trHeight w:val="272"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30305</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生活补助</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cs="宋体"/>
                <w:color w:val="auto"/>
                <w:kern w:val="0"/>
                <w:szCs w:val="20"/>
              </w:rPr>
              <w:t>0.00</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30225</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专用燃料费</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cs="宋体"/>
                <w:color w:val="auto"/>
                <w:kern w:val="0"/>
                <w:szCs w:val="20"/>
              </w:rPr>
              <w:t>0.00</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31099</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其他资本性支出</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cs="宋体"/>
                <w:color w:val="auto"/>
                <w:kern w:val="0"/>
                <w:szCs w:val="20"/>
              </w:rPr>
              <w:t>0.00</w:t>
            </w:r>
          </w:p>
        </w:tc>
      </w:tr>
      <w:tr>
        <w:tblPrEx>
          <w:tblCellMar>
            <w:top w:w="0" w:type="dxa"/>
            <w:left w:w="108" w:type="dxa"/>
            <w:bottom w:w="0" w:type="dxa"/>
            <w:right w:w="108" w:type="dxa"/>
          </w:tblCellMar>
        </w:tblPrEx>
        <w:trPr>
          <w:trHeight w:val="272"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30306</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救济费</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cs="宋体"/>
                <w:color w:val="auto"/>
                <w:kern w:val="0"/>
                <w:szCs w:val="20"/>
              </w:rPr>
              <w:t>0.00</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30226</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劳务费</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cs="宋体"/>
                <w:color w:val="auto"/>
                <w:kern w:val="0"/>
                <w:szCs w:val="20"/>
              </w:rPr>
              <w:t>0.00</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399</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hint="eastAsia" w:ascii="宋体" w:hAnsi="宋体" w:cs="宋体"/>
                <w:color w:val="auto"/>
                <w:kern w:val="0"/>
                <w:szCs w:val="20"/>
              </w:rPr>
              <w:t>其他支出</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cs="宋体"/>
                <w:color w:val="auto"/>
                <w:kern w:val="0"/>
                <w:szCs w:val="20"/>
              </w:rPr>
              <w:t>0.00</w:t>
            </w:r>
          </w:p>
        </w:tc>
      </w:tr>
      <w:tr>
        <w:tblPrEx>
          <w:tblCellMar>
            <w:top w:w="0" w:type="dxa"/>
            <w:left w:w="108" w:type="dxa"/>
            <w:bottom w:w="0" w:type="dxa"/>
            <w:right w:w="108" w:type="dxa"/>
          </w:tblCellMar>
        </w:tblPrEx>
        <w:trPr>
          <w:trHeight w:val="272"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30307</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医疗费补助</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cs="宋体"/>
                <w:color w:val="auto"/>
                <w:kern w:val="0"/>
                <w:szCs w:val="20"/>
              </w:rPr>
              <w:t>0.00</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30227</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委托业务费</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cs="宋体"/>
                <w:color w:val="auto"/>
                <w:kern w:val="0"/>
                <w:szCs w:val="20"/>
              </w:rPr>
              <w:t>0.00</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39906</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赠与</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cs="宋体"/>
                <w:color w:val="auto"/>
                <w:kern w:val="0"/>
                <w:szCs w:val="20"/>
              </w:rPr>
              <w:t>0.00</w:t>
            </w:r>
          </w:p>
        </w:tc>
      </w:tr>
      <w:tr>
        <w:tblPrEx>
          <w:tblCellMar>
            <w:top w:w="0" w:type="dxa"/>
            <w:left w:w="108" w:type="dxa"/>
            <w:bottom w:w="0" w:type="dxa"/>
            <w:right w:w="108" w:type="dxa"/>
          </w:tblCellMar>
        </w:tblPrEx>
        <w:trPr>
          <w:trHeight w:val="272"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30308</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助学金</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cs="宋体"/>
                <w:color w:val="auto"/>
                <w:kern w:val="0"/>
                <w:szCs w:val="20"/>
              </w:rPr>
              <w:t>0.00</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30228</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工会经费</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3.99</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39907</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国家赔偿费用支出</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cs="宋体"/>
                <w:color w:val="auto"/>
                <w:kern w:val="0"/>
                <w:szCs w:val="20"/>
              </w:rPr>
              <w:t>0.00</w:t>
            </w:r>
          </w:p>
        </w:tc>
      </w:tr>
      <w:tr>
        <w:tblPrEx>
          <w:tblCellMar>
            <w:top w:w="0" w:type="dxa"/>
            <w:left w:w="108" w:type="dxa"/>
            <w:bottom w:w="0" w:type="dxa"/>
            <w:right w:w="108" w:type="dxa"/>
          </w:tblCellMar>
        </w:tblPrEx>
        <w:trPr>
          <w:trHeight w:val="272"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30309</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奖励金</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cs="宋体"/>
                <w:color w:val="auto"/>
                <w:kern w:val="0"/>
                <w:szCs w:val="20"/>
              </w:rPr>
              <w:t>0.00</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30229</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福利费</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cs="宋体"/>
                <w:color w:val="auto"/>
                <w:kern w:val="0"/>
                <w:szCs w:val="20"/>
              </w:rPr>
              <w:t>0.00</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39908</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对民间非营利组织和群众性自治组织补贴</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cs="宋体"/>
                <w:color w:val="auto"/>
                <w:kern w:val="0"/>
                <w:szCs w:val="20"/>
              </w:rPr>
              <w:t>0.00</w:t>
            </w:r>
          </w:p>
        </w:tc>
      </w:tr>
      <w:tr>
        <w:tblPrEx>
          <w:tblCellMar>
            <w:top w:w="0" w:type="dxa"/>
            <w:left w:w="108" w:type="dxa"/>
            <w:bottom w:w="0" w:type="dxa"/>
            <w:right w:w="108" w:type="dxa"/>
          </w:tblCellMar>
        </w:tblPrEx>
        <w:trPr>
          <w:trHeight w:val="272"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30310</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个人农业生产补贴</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cs="宋体"/>
                <w:color w:val="auto"/>
                <w:kern w:val="0"/>
                <w:szCs w:val="20"/>
              </w:rPr>
              <w:t>0.00</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30231</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公务用车运行维护费</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0.14</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39999</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其他支出</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cs="宋体"/>
                <w:color w:val="auto"/>
                <w:kern w:val="0"/>
                <w:szCs w:val="20"/>
              </w:rPr>
              <w:t>0.00</w:t>
            </w:r>
          </w:p>
        </w:tc>
      </w:tr>
      <w:tr>
        <w:tblPrEx>
          <w:tblCellMar>
            <w:top w:w="0" w:type="dxa"/>
            <w:left w:w="108" w:type="dxa"/>
            <w:bottom w:w="0" w:type="dxa"/>
            <w:right w:w="108" w:type="dxa"/>
          </w:tblCellMar>
        </w:tblPrEx>
        <w:trPr>
          <w:trHeight w:val="272"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30311</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代缴社会保险费</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cs="宋体"/>
                <w:color w:val="auto"/>
                <w:kern w:val="0"/>
                <w:szCs w:val="20"/>
              </w:rPr>
              <w:t>0.00</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30239</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其他交通费用</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cs="宋体"/>
                <w:color w:val="auto"/>
                <w:kern w:val="0"/>
                <w:szCs w:val="20"/>
              </w:rPr>
              <w:t>0.00</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18"/>
              </w:rPr>
            </w:pP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18"/>
              </w:rPr>
            </w:pPr>
            <w:r>
              <w:rPr>
                <w:rFonts w:hint="eastAsia" w:ascii="宋体" w:hAnsi="宋体" w:cs="宋体"/>
                <w:color w:val="auto"/>
                <w:kern w:val="0"/>
                <w:szCs w:val="18"/>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p>
        </w:tc>
      </w:tr>
      <w:tr>
        <w:tblPrEx>
          <w:tblCellMar>
            <w:top w:w="0" w:type="dxa"/>
            <w:left w:w="108" w:type="dxa"/>
            <w:bottom w:w="0" w:type="dxa"/>
            <w:right w:w="108" w:type="dxa"/>
          </w:tblCellMar>
        </w:tblPrEx>
        <w:trPr>
          <w:trHeight w:val="272"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30399</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其他对个人和家庭的补助</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cs="宋体"/>
                <w:color w:val="auto"/>
                <w:kern w:val="0"/>
                <w:szCs w:val="20"/>
              </w:rPr>
              <w:t>0.00</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30240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税金及附加费用</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cs="宋体"/>
                <w:color w:val="auto"/>
                <w:kern w:val="0"/>
                <w:szCs w:val="20"/>
              </w:rPr>
              <w:t>0.00</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18"/>
              </w:rPr>
            </w:pP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18"/>
              </w:rPr>
            </w:pPr>
            <w:r>
              <w:rPr>
                <w:rFonts w:hint="eastAsia" w:ascii="宋体" w:hAnsi="宋体" w:cs="宋体"/>
                <w:color w:val="auto"/>
                <w:kern w:val="0"/>
                <w:szCs w:val="18"/>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p>
        </w:tc>
      </w:tr>
      <w:tr>
        <w:tblPrEx>
          <w:tblCellMar>
            <w:top w:w="0" w:type="dxa"/>
            <w:left w:w="108" w:type="dxa"/>
            <w:bottom w:w="0" w:type="dxa"/>
            <w:right w:w="108" w:type="dxa"/>
          </w:tblCellMar>
        </w:tblPrEx>
        <w:trPr>
          <w:trHeight w:val="272"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auto"/>
                <w:kern w:val="0"/>
                <w:szCs w:val="20"/>
              </w:rPr>
            </w:pPr>
            <w:r>
              <w:rPr>
                <w:rFonts w:hint="eastAsia" w:ascii="宋体" w:hAnsi="宋体" w:cs="宋体"/>
                <w:color w:val="auto"/>
                <w:kern w:val="0"/>
                <w:szCs w:val="20"/>
              </w:rPr>
              <w:t>　</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hint="eastAsia" w:ascii="宋体" w:hAnsi="宋体" w:cs="宋体"/>
                <w:color w:val="auto"/>
                <w:kern w:val="0"/>
                <w:szCs w:val="20"/>
              </w:rPr>
              <w:t>　</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cs="宋体"/>
                <w:color w:val="auto"/>
                <w:kern w:val="0"/>
                <w:szCs w:val="20"/>
              </w:rPr>
              <w:t>0.00</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30299</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 xml:space="preserve">  </w:t>
            </w:r>
            <w:r>
              <w:rPr>
                <w:rFonts w:hint="eastAsia" w:ascii="宋体" w:hAnsi="宋体" w:cs="宋体"/>
                <w:color w:val="auto"/>
                <w:kern w:val="0"/>
                <w:szCs w:val="20"/>
              </w:rPr>
              <w:t>其他商品和服务支出</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r>
              <w:rPr>
                <w:rFonts w:ascii="宋体" w:hAnsi="宋体" w:cs="宋体"/>
                <w:color w:val="auto"/>
                <w:kern w:val="0"/>
                <w:szCs w:val="20"/>
              </w:rPr>
              <w:t>1.61</w:t>
            </w:r>
          </w:p>
        </w:tc>
        <w:tc>
          <w:tcPr>
            <w:tcW w:w="5118" w:type="dxa"/>
            <w:gridSpan w:val="2"/>
            <w:tcBorders>
              <w:top w:val="nil"/>
              <w:left w:val="nil"/>
              <w:bottom w:val="single" w:color="auto" w:sz="4" w:space="0"/>
              <w:right w:val="single" w:color="auto" w:sz="4" w:space="0"/>
            </w:tcBorders>
            <w:noWrap/>
            <w:vAlign w:val="center"/>
          </w:tcPr>
          <w:p>
            <w:pPr>
              <w:widowControl/>
              <w:jc w:val="left"/>
              <w:rPr>
                <w:rFonts w:ascii="宋体" w:cs="宋体"/>
                <w:color w:val="auto"/>
                <w:kern w:val="0"/>
                <w:szCs w:val="18"/>
              </w:rPr>
            </w:pPr>
          </w:p>
          <w:p>
            <w:pPr>
              <w:widowControl/>
              <w:jc w:val="left"/>
              <w:rPr>
                <w:rFonts w:ascii="宋体" w:cs="宋体"/>
                <w:color w:val="auto"/>
                <w:kern w:val="0"/>
                <w:szCs w:val="18"/>
              </w:rPr>
            </w:pPr>
            <w:r>
              <w:rPr>
                <w:rFonts w:hint="eastAsia" w:ascii="宋体" w:hAnsi="宋体" w:cs="宋体"/>
                <w:color w:val="auto"/>
                <w:kern w:val="0"/>
                <w:szCs w:val="18"/>
              </w:rPr>
              <w:t>　</w:t>
            </w:r>
            <w:r>
              <w:rPr>
                <w:rFonts w:hint="eastAsia" w:ascii="宋体" w:hAnsi="宋体" w:cs="宋体"/>
                <w:color w:val="auto"/>
                <w:sz w:val="17"/>
                <w:szCs w:val="17"/>
                <w:shd w:val="clear" w:color="auto" w:fill="FFFFFF"/>
              </w:rPr>
              <w:t>公用经费合计</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20"/>
              </w:rPr>
            </w:pPr>
          </w:p>
        </w:tc>
      </w:tr>
      <w:tr>
        <w:tblPrEx>
          <w:tblCellMar>
            <w:top w:w="0" w:type="dxa"/>
            <w:left w:w="108" w:type="dxa"/>
            <w:bottom w:w="0" w:type="dxa"/>
            <w:right w:w="108" w:type="dxa"/>
          </w:tblCellMar>
        </w:tblPrEx>
        <w:trPr>
          <w:trHeight w:val="272" w:hRule="exact"/>
        </w:trPr>
        <w:tc>
          <w:tcPr>
            <w:tcW w:w="0" w:type="auto"/>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auto"/>
                <w:kern w:val="0"/>
                <w:szCs w:val="20"/>
              </w:rPr>
            </w:pPr>
            <w:r>
              <w:rPr>
                <w:rFonts w:hint="eastAsia" w:ascii="宋体" w:hAnsi="宋体" w:cs="宋体"/>
                <w:color w:val="auto"/>
                <w:kern w:val="0"/>
                <w:szCs w:val="20"/>
              </w:rPr>
              <w:t>人员经费合计</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ascii="宋体" w:hAnsi="宋体" w:cs="宋体"/>
                <w:color w:val="auto"/>
                <w:kern w:val="0"/>
                <w:szCs w:val="20"/>
              </w:rPr>
              <w:t>111.44</w:t>
            </w:r>
          </w:p>
        </w:tc>
        <w:tc>
          <w:tcPr>
            <w:tcW w:w="0" w:type="auto"/>
            <w:gridSpan w:val="5"/>
            <w:tcBorders>
              <w:top w:val="single" w:color="auto" w:sz="4" w:space="0"/>
              <w:left w:val="nil"/>
              <w:bottom w:val="single" w:color="auto" w:sz="4" w:space="0"/>
              <w:right w:val="single" w:color="auto" w:sz="4" w:space="0"/>
            </w:tcBorders>
            <w:noWrap/>
            <w:vAlign w:val="center"/>
          </w:tcPr>
          <w:p>
            <w:pPr>
              <w:widowControl/>
              <w:jc w:val="center"/>
              <w:rPr>
                <w:rFonts w:ascii="宋体" w:cs="宋体"/>
                <w:color w:val="auto"/>
                <w:kern w:val="0"/>
                <w:szCs w:val="20"/>
              </w:rPr>
            </w:pPr>
            <w:r>
              <w:rPr>
                <w:rFonts w:hint="eastAsia" w:ascii="宋体" w:hAnsi="宋体" w:cs="宋体"/>
                <w:color w:val="auto"/>
                <w:kern w:val="0"/>
                <w:szCs w:val="20"/>
              </w:rPr>
              <w:t>公用经费合计</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auto"/>
                <w:kern w:val="0"/>
                <w:szCs w:val="18"/>
              </w:rPr>
            </w:pPr>
            <w:r>
              <w:rPr>
                <w:rFonts w:hint="eastAsia" w:ascii="宋体" w:hAnsi="宋体" w:cs="宋体"/>
                <w:color w:val="auto"/>
                <w:kern w:val="0"/>
                <w:szCs w:val="18"/>
              </w:rPr>
              <w:t>　</w:t>
            </w:r>
            <w:r>
              <w:rPr>
                <w:rFonts w:ascii="宋体" w:hAnsi="宋体" w:cs="宋体"/>
                <w:color w:val="auto"/>
                <w:kern w:val="0"/>
                <w:szCs w:val="18"/>
              </w:rPr>
              <w:t>8.81</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noWrap/>
            <w:vAlign w:val="center"/>
          </w:tcPr>
          <w:p>
            <w:pPr>
              <w:widowControl/>
              <w:jc w:val="left"/>
              <w:rPr>
                <w:rFonts w:ascii="宋体" w:cs="宋体"/>
                <w:color w:val="auto"/>
                <w:kern w:val="0"/>
                <w:szCs w:val="24"/>
              </w:rPr>
            </w:pPr>
            <w:r>
              <w:rPr>
                <w:rFonts w:hint="eastAsia" w:ascii="宋体" w:hAnsi="宋体" w:cs="宋体"/>
                <w:color w:val="auto"/>
                <w:kern w:val="0"/>
                <w:szCs w:val="24"/>
              </w:rPr>
              <w:t>注：本表反映部门本年度一般公共预算财政拨款基本支出明细情况。</w:t>
            </w:r>
          </w:p>
        </w:tc>
      </w:tr>
    </w:tbl>
    <w:p>
      <w:pPr>
        <w:widowControl/>
        <w:jc w:val="center"/>
        <w:rPr>
          <w:rFonts w:ascii="华文中宋" w:hAnsi="华文中宋" w:eastAsia="华文中宋" w:cs="宋体"/>
          <w:color w:val="auto"/>
          <w:kern w:val="0"/>
          <w:sz w:val="32"/>
          <w:szCs w:val="32"/>
        </w:rPr>
      </w:pPr>
      <w:r>
        <w:rPr>
          <w:rFonts w:hint="eastAsia" w:ascii="华文中宋" w:hAnsi="华文中宋" w:eastAsia="华文中宋" w:cs="宋体"/>
          <w:color w:val="auto"/>
          <w:kern w:val="0"/>
          <w:sz w:val="32"/>
          <w:szCs w:val="32"/>
        </w:rPr>
        <w:t>一般公共预算财政拨款“三公”经费支出决算表</w:t>
      </w:r>
    </w:p>
    <w:p>
      <w:pPr>
        <w:widowControl/>
        <w:ind w:left="10920" w:leftChars="200" w:hanging="10500" w:hangingChars="5000"/>
        <w:jc w:val="left"/>
        <w:rPr>
          <w:rFonts w:ascii="Times New Roman" w:hAnsi="Times New Roman" w:eastAsia="仿宋_GB2312"/>
          <w:color w:val="auto"/>
          <w:kern w:val="0"/>
          <w:szCs w:val="21"/>
        </w:rPr>
      </w:pPr>
      <w:r>
        <w:rPr>
          <w:rFonts w:hint="eastAsia" w:ascii="Times New Roman" w:hAnsi="Times New Roman" w:eastAsia="仿宋_GB2312"/>
          <w:color w:val="auto"/>
          <w:kern w:val="0"/>
          <w:szCs w:val="21"/>
        </w:rPr>
        <w:t>部门：</w:t>
      </w:r>
      <w:r>
        <w:rPr>
          <w:rFonts w:hint="eastAsia" w:ascii="宋体" w:hAnsi="宋体" w:cs="宋体"/>
          <w:color w:val="auto"/>
          <w:kern w:val="0"/>
          <w:sz w:val="20"/>
          <w:szCs w:val="20"/>
        </w:rPr>
        <w:t>岳阳市市场监督管理局城陵矶新港区分局</w:t>
      </w:r>
      <w:r>
        <w:rPr>
          <w:rFonts w:ascii="Times New Roman" w:hAnsi="Times New Roman" w:eastAsia="仿宋_GB2312"/>
          <w:color w:val="auto"/>
          <w:kern w:val="0"/>
          <w:szCs w:val="21"/>
        </w:rPr>
        <w:t xml:space="preserve">                                                                                   </w:t>
      </w:r>
      <w:r>
        <w:rPr>
          <w:rFonts w:hint="eastAsia" w:ascii="Times New Roman" w:hAnsi="Times New Roman" w:eastAsia="仿宋_GB2312"/>
          <w:color w:val="auto"/>
          <w:kern w:val="0"/>
          <w:szCs w:val="21"/>
        </w:rPr>
        <w:t>公开</w:t>
      </w:r>
      <w:r>
        <w:rPr>
          <w:rFonts w:ascii="Times New Roman" w:hAnsi="Times New Roman" w:eastAsia="仿宋_GB2312"/>
          <w:color w:val="auto"/>
          <w:kern w:val="0"/>
          <w:szCs w:val="21"/>
        </w:rPr>
        <w:t>07</w:t>
      </w:r>
      <w:r>
        <w:rPr>
          <w:rFonts w:hint="eastAsia" w:ascii="Times New Roman" w:hAnsi="Times New Roman" w:eastAsia="仿宋_GB2312"/>
          <w:color w:val="auto"/>
          <w:kern w:val="0"/>
          <w:szCs w:val="21"/>
        </w:rPr>
        <w:t>表</w:t>
      </w:r>
    </w:p>
    <w:p>
      <w:pPr>
        <w:widowControl/>
        <w:ind w:right="420"/>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rPr>
        <w:t>单位：万元</w:t>
      </w: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rPr>
              <w:t>预算数</w:t>
            </w:r>
          </w:p>
        </w:tc>
        <w:tc>
          <w:tcPr>
            <w:tcW w:w="7320" w:type="dxa"/>
            <w:gridSpan w:val="6"/>
            <w:tcBorders>
              <w:top w:val="single" w:color="auto" w:sz="8" w:space="0"/>
              <w:left w:val="nil"/>
              <w:bottom w:val="single" w:color="auto" w:sz="4" w:space="0"/>
              <w:right w:val="single" w:color="000000" w:sz="8" w:space="0"/>
            </w:tcBorders>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rPr>
              <w:t>决算数</w:t>
            </w:r>
          </w:p>
        </w:tc>
      </w:tr>
      <w:tr>
        <w:trPr>
          <w:trHeight w:val="397" w:hRule="atLeast"/>
          <w:jc w:val="center"/>
        </w:trPr>
        <w:tc>
          <w:tcPr>
            <w:tcW w:w="1220" w:type="dxa"/>
            <w:vMerge w:val="restart"/>
            <w:tcBorders>
              <w:top w:val="nil"/>
              <w:left w:val="single" w:color="auto" w:sz="8" w:space="0"/>
              <w:bottom w:val="single" w:color="000000" w:sz="4" w:space="0"/>
              <w:right w:val="single" w:color="auto" w:sz="4" w:space="0"/>
            </w:tcBorders>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rPr>
              <w:t>合计</w:t>
            </w:r>
          </w:p>
        </w:tc>
        <w:tc>
          <w:tcPr>
            <w:tcW w:w="122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rPr>
              <w:t>因公出国（境）费</w:t>
            </w:r>
          </w:p>
        </w:tc>
        <w:tc>
          <w:tcPr>
            <w:tcW w:w="3660"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rPr>
              <w:t>公务</w:t>
            </w:r>
          </w:p>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rPr>
              <w:t>接待费</w:t>
            </w:r>
          </w:p>
        </w:tc>
        <w:tc>
          <w:tcPr>
            <w:tcW w:w="1220" w:type="dxa"/>
            <w:vMerge w:val="restart"/>
            <w:tcBorders>
              <w:top w:val="nil"/>
              <w:left w:val="nil"/>
              <w:bottom w:val="single" w:color="000000" w:sz="4" w:space="0"/>
              <w:right w:val="single" w:color="auto" w:sz="4" w:space="0"/>
            </w:tcBorders>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rPr>
              <w:t>合计</w:t>
            </w:r>
          </w:p>
        </w:tc>
        <w:tc>
          <w:tcPr>
            <w:tcW w:w="122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rPr>
              <w:t>因公出国（境）费</w:t>
            </w:r>
          </w:p>
        </w:tc>
        <w:tc>
          <w:tcPr>
            <w:tcW w:w="3660"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rPr>
              <w:t>公务</w:t>
            </w:r>
          </w:p>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olor w:val="auto"/>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auto"/>
                <w:kern w:val="0"/>
                <w:szCs w:val="21"/>
              </w:rPr>
            </w:pP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rPr>
              <w:t>小计</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rPr>
              <w:t>公务用车</w:t>
            </w:r>
          </w:p>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rPr>
              <w:t>购置费</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rPr>
              <w:t>公务用车</w:t>
            </w:r>
          </w:p>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auto"/>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olor w:val="auto"/>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auto"/>
                <w:kern w:val="0"/>
                <w:szCs w:val="21"/>
              </w:rPr>
            </w:pP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rPr>
              <w:t>小计</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rPr>
              <w:t>公务用车</w:t>
            </w:r>
          </w:p>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rPr>
              <w:t>购置费</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rPr>
              <w:t>公务用车</w:t>
            </w:r>
          </w:p>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olor w:val="auto"/>
                <w:kern w:val="0"/>
                <w:szCs w:val="21"/>
              </w:rPr>
            </w:pPr>
          </w:p>
        </w:tc>
      </w:tr>
      <w:tr>
        <w:trPr>
          <w:trHeight w:val="397" w:hRule="atLeast"/>
          <w:jc w:val="center"/>
        </w:trPr>
        <w:tc>
          <w:tcPr>
            <w:tcW w:w="1220"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1</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2</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3</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4</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5</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6</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7</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8</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9</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10</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11</w:t>
            </w:r>
          </w:p>
        </w:tc>
        <w:tc>
          <w:tcPr>
            <w:tcW w:w="1220"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6.00</w:t>
            </w:r>
          </w:p>
        </w:tc>
        <w:tc>
          <w:tcPr>
            <w:tcW w:w="1220"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0</w:t>
            </w:r>
          </w:p>
        </w:tc>
        <w:tc>
          <w:tcPr>
            <w:tcW w:w="1220"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3.00</w:t>
            </w:r>
          </w:p>
        </w:tc>
        <w:tc>
          <w:tcPr>
            <w:tcW w:w="1220"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0</w:t>
            </w:r>
          </w:p>
        </w:tc>
        <w:tc>
          <w:tcPr>
            <w:tcW w:w="1220"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3.00</w:t>
            </w:r>
          </w:p>
        </w:tc>
        <w:tc>
          <w:tcPr>
            <w:tcW w:w="1220"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3.00</w:t>
            </w:r>
          </w:p>
        </w:tc>
        <w:tc>
          <w:tcPr>
            <w:tcW w:w="1220"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5.36</w:t>
            </w:r>
          </w:p>
        </w:tc>
        <w:tc>
          <w:tcPr>
            <w:tcW w:w="1220"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0</w:t>
            </w:r>
          </w:p>
        </w:tc>
        <w:tc>
          <w:tcPr>
            <w:tcW w:w="1220"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4.81</w:t>
            </w:r>
          </w:p>
        </w:tc>
        <w:tc>
          <w:tcPr>
            <w:tcW w:w="1220"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0</w:t>
            </w:r>
          </w:p>
        </w:tc>
        <w:tc>
          <w:tcPr>
            <w:tcW w:w="1220" w:type="dxa"/>
            <w:tcBorders>
              <w:top w:val="nil"/>
              <w:left w:val="nil"/>
              <w:bottom w:val="single" w:color="auto" w:sz="8" w:space="0"/>
              <w:right w:val="nil"/>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4.81</w:t>
            </w:r>
          </w:p>
        </w:tc>
        <w:tc>
          <w:tcPr>
            <w:tcW w:w="1220" w:type="dxa"/>
            <w:tcBorders>
              <w:top w:val="nil"/>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0.55</w:t>
            </w:r>
          </w:p>
        </w:tc>
      </w:tr>
    </w:tbl>
    <w:p>
      <w:pPr>
        <w:widowControl/>
        <w:jc w:val="left"/>
        <w:rPr>
          <w:rFonts w:ascii="宋体" w:cs="宋体"/>
          <w:color w:val="auto"/>
          <w:kern w:val="0"/>
          <w:sz w:val="24"/>
          <w:szCs w:val="24"/>
        </w:rPr>
      </w:pPr>
      <w:r>
        <w:rPr>
          <w:rFonts w:hint="eastAsia" w:ascii="宋体" w:cs="宋体"/>
          <w:color w:val="auto"/>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cs="宋体"/>
          <w:color w:val="auto"/>
          <w:kern w:val="0"/>
          <w:sz w:val="24"/>
          <w:szCs w:val="24"/>
        </w:rPr>
        <w:br w:type="page"/>
      </w:r>
    </w:p>
    <w:p>
      <w:pPr>
        <w:autoSpaceDE w:val="0"/>
        <w:autoSpaceDN w:val="0"/>
        <w:adjustRightInd w:val="0"/>
        <w:ind w:left="315" w:leftChars="150"/>
        <w:jc w:val="left"/>
        <w:rPr>
          <w:rFonts w:ascii="宋体" w:cs="宋体"/>
          <w:color w:val="auto"/>
          <w:kern w:val="0"/>
          <w:sz w:val="24"/>
          <w:szCs w:val="24"/>
        </w:rPr>
      </w:pPr>
    </w:p>
    <w:p>
      <w:pPr>
        <w:widowControl/>
        <w:jc w:val="center"/>
        <w:rPr>
          <w:rFonts w:ascii="华文中宋" w:hAnsi="华文中宋" w:eastAsia="华文中宋" w:cs="宋体"/>
          <w:color w:val="auto"/>
          <w:kern w:val="0"/>
          <w:sz w:val="32"/>
          <w:szCs w:val="32"/>
        </w:rPr>
      </w:pPr>
      <w:r>
        <w:rPr>
          <w:rFonts w:hint="eastAsia" w:ascii="华文中宋" w:hAnsi="华文中宋" w:eastAsia="华文中宋" w:cs="宋体"/>
          <w:color w:val="auto"/>
          <w:kern w:val="0"/>
          <w:sz w:val="32"/>
          <w:szCs w:val="32"/>
        </w:rPr>
        <w:t>政府性基金预算财政拨款收入支出决算表</w:t>
      </w:r>
    </w:p>
    <w:p>
      <w:pPr>
        <w:widowControl/>
        <w:wordWrap w:val="0"/>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rPr>
        <w:t>部门：</w:t>
      </w:r>
      <w:r>
        <w:rPr>
          <w:rFonts w:ascii="Times New Roman" w:hAnsi="Times New Roman" w:eastAsia="仿宋_GB2312"/>
          <w:color w:val="auto"/>
          <w:kern w:val="0"/>
          <w:szCs w:val="21"/>
        </w:rPr>
        <w:t xml:space="preserve"> </w:t>
      </w:r>
      <w:r>
        <w:rPr>
          <w:rFonts w:hint="eastAsia" w:ascii="宋体" w:hAnsi="宋体" w:cs="宋体"/>
          <w:color w:val="auto"/>
          <w:kern w:val="0"/>
          <w:sz w:val="20"/>
          <w:szCs w:val="20"/>
        </w:rPr>
        <w:t>岳阳市市场监督管理局城陵矶新港区分局</w:t>
      </w:r>
      <w:r>
        <w:rPr>
          <w:rFonts w:ascii="Times New Roman" w:hAnsi="Times New Roman" w:eastAsia="仿宋_GB2312"/>
          <w:color w:val="auto"/>
          <w:kern w:val="0"/>
          <w:szCs w:val="21"/>
        </w:rPr>
        <w:t xml:space="preserve">                                                                             </w:t>
      </w:r>
      <w:r>
        <w:rPr>
          <w:rFonts w:hint="eastAsia" w:ascii="Times New Roman" w:hAnsi="Times New Roman" w:eastAsia="仿宋_GB2312"/>
          <w:color w:val="auto"/>
          <w:kern w:val="0"/>
          <w:szCs w:val="21"/>
        </w:rPr>
        <w:t>公开</w:t>
      </w:r>
      <w:r>
        <w:rPr>
          <w:rFonts w:ascii="Times New Roman" w:hAnsi="Times New Roman" w:eastAsia="仿宋_GB2312"/>
          <w:color w:val="auto"/>
          <w:kern w:val="0"/>
          <w:szCs w:val="21"/>
        </w:rPr>
        <w:t>08</w:t>
      </w:r>
      <w:r>
        <w:rPr>
          <w:rFonts w:hint="eastAsia" w:ascii="Times New Roman" w:hAnsi="Times New Roman" w:eastAsia="仿宋_GB2312"/>
          <w:color w:val="auto"/>
          <w:kern w:val="0"/>
          <w:szCs w:val="21"/>
        </w:rPr>
        <w:t>表</w:t>
      </w:r>
    </w:p>
    <w:p>
      <w:pPr>
        <w:widowControl/>
        <w:ind w:firstLine="13440" w:firstLineChars="6400"/>
        <w:rPr>
          <w:rFonts w:ascii="Times New Roman" w:hAnsi="Times New Roman" w:eastAsia="仿宋_GB2312"/>
          <w:color w:val="auto"/>
          <w:kern w:val="0"/>
          <w:szCs w:val="21"/>
        </w:rPr>
      </w:pPr>
      <w:r>
        <w:rPr>
          <w:rFonts w:hint="eastAsia" w:ascii="Times New Roman" w:hAnsi="Times New Roman" w:eastAsia="仿宋_GB2312"/>
          <w:color w:val="auto"/>
          <w:kern w:val="0"/>
          <w:szCs w:val="21"/>
        </w:rPr>
        <w:t>单位：万元</w:t>
      </w: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b/>
                <w:color w:val="auto"/>
                <w:kern w:val="0"/>
                <w:szCs w:val="21"/>
              </w:rPr>
            </w:pPr>
            <w:r>
              <w:rPr>
                <w:rFonts w:hint="eastAsia" w:ascii="Times New Roman" w:hAnsi="Times New Roman" w:eastAsia="仿宋_GB2312"/>
                <w:b/>
                <w:color w:val="auto"/>
                <w:kern w:val="0"/>
                <w:szCs w:val="21"/>
              </w:rPr>
              <w:t>项</w:t>
            </w:r>
            <w:r>
              <w:rPr>
                <w:rFonts w:ascii="Times New Roman" w:hAnsi="Times New Roman" w:eastAsia="仿宋_GB2312"/>
                <w:b/>
                <w:color w:val="auto"/>
                <w:kern w:val="0"/>
                <w:szCs w:val="21"/>
              </w:rPr>
              <w:t xml:space="preserve"> </w:t>
            </w:r>
            <w:r>
              <w:rPr>
                <w:rFonts w:hint="eastAsia" w:ascii="Times New Roman" w:hAnsi="Times New Roman" w:eastAsia="仿宋_GB2312"/>
                <w:b/>
                <w:color w:val="auto"/>
                <w:kern w:val="0"/>
                <w:szCs w:val="21"/>
              </w:rPr>
              <w:t>目</w:t>
            </w:r>
          </w:p>
        </w:tc>
        <w:tc>
          <w:tcPr>
            <w:tcW w:w="2000" w:type="dxa"/>
            <w:vMerge w:val="restart"/>
            <w:vAlign w:val="center"/>
          </w:tcPr>
          <w:p>
            <w:pPr>
              <w:widowControl/>
              <w:jc w:val="center"/>
              <w:rPr>
                <w:rFonts w:ascii="Times New Roman" w:hAnsi="Times New Roman" w:eastAsia="仿宋_GB2312"/>
                <w:b/>
                <w:color w:val="auto"/>
                <w:kern w:val="0"/>
                <w:szCs w:val="21"/>
              </w:rPr>
            </w:pPr>
            <w:r>
              <w:rPr>
                <w:rFonts w:hint="eastAsia" w:ascii="Times New Roman" w:hAnsi="Times New Roman" w:eastAsia="仿宋_GB2312"/>
                <w:b/>
                <w:color w:val="auto"/>
                <w:kern w:val="0"/>
                <w:szCs w:val="21"/>
              </w:rPr>
              <w:t>年初结转和结余</w:t>
            </w:r>
          </w:p>
        </w:tc>
        <w:tc>
          <w:tcPr>
            <w:tcW w:w="2000" w:type="dxa"/>
            <w:vMerge w:val="restart"/>
            <w:vAlign w:val="center"/>
          </w:tcPr>
          <w:p>
            <w:pPr>
              <w:widowControl/>
              <w:jc w:val="center"/>
              <w:rPr>
                <w:rFonts w:ascii="Times New Roman" w:hAnsi="Times New Roman" w:eastAsia="仿宋_GB2312"/>
                <w:b/>
                <w:color w:val="auto"/>
                <w:kern w:val="0"/>
                <w:szCs w:val="21"/>
              </w:rPr>
            </w:pPr>
            <w:r>
              <w:rPr>
                <w:rFonts w:hint="eastAsia" w:ascii="Times New Roman" w:hAnsi="Times New Roman" w:eastAsia="仿宋_GB2312"/>
                <w:b/>
                <w:color w:val="auto"/>
                <w:kern w:val="0"/>
                <w:szCs w:val="21"/>
              </w:rPr>
              <w:t>本年收入</w:t>
            </w:r>
          </w:p>
        </w:tc>
        <w:tc>
          <w:tcPr>
            <w:tcW w:w="6000" w:type="dxa"/>
            <w:gridSpan w:val="3"/>
            <w:vAlign w:val="center"/>
          </w:tcPr>
          <w:p>
            <w:pPr>
              <w:widowControl/>
              <w:jc w:val="center"/>
              <w:rPr>
                <w:rFonts w:ascii="Times New Roman" w:hAnsi="Times New Roman" w:eastAsia="仿宋_GB2312"/>
                <w:b/>
                <w:color w:val="auto"/>
                <w:kern w:val="0"/>
                <w:szCs w:val="21"/>
              </w:rPr>
            </w:pPr>
            <w:r>
              <w:rPr>
                <w:rFonts w:hint="eastAsia" w:ascii="Times New Roman" w:hAnsi="Times New Roman" w:eastAsia="仿宋_GB2312"/>
                <w:b/>
                <w:color w:val="auto"/>
                <w:kern w:val="0"/>
                <w:szCs w:val="21"/>
              </w:rPr>
              <w:t>本年支出</w:t>
            </w:r>
          </w:p>
        </w:tc>
        <w:tc>
          <w:tcPr>
            <w:tcW w:w="2000" w:type="dxa"/>
            <w:vMerge w:val="restart"/>
            <w:vAlign w:val="center"/>
          </w:tcPr>
          <w:p>
            <w:pPr>
              <w:widowControl/>
              <w:jc w:val="center"/>
              <w:rPr>
                <w:rFonts w:ascii="Times New Roman" w:hAnsi="Times New Roman" w:eastAsia="仿宋_GB2312"/>
                <w:b/>
                <w:color w:val="auto"/>
                <w:kern w:val="0"/>
                <w:szCs w:val="21"/>
              </w:rPr>
            </w:pPr>
            <w:r>
              <w:rPr>
                <w:rFonts w:hint="eastAsia" w:ascii="Times New Roman" w:hAnsi="Times New Roman" w:eastAsia="仿宋_GB2312"/>
                <w:b/>
                <w:color w:val="auto"/>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vAlign w:val="center"/>
          </w:tcPr>
          <w:p>
            <w:pPr>
              <w:widowControl/>
              <w:jc w:val="center"/>
              <w:rPr>
                <w:rFonts w:ascii="Times New Roman" w:hAnsi="Times New Roman" w:eastAsia="仿宋_GB2312"/>
                <w:b/>
                <w:color w:val="auto"/>
                <w:kern w:val="0"/>
                <w:szCs w:val="21"/>
              </w:rPr>
            </w:pPr>
            <w:r>
              <w:rPr>
                <w:rFonts w:hint="eastAsia" w:ascii="Times New Roman" w:hAnsi="Times New Roman" w:eastAsia="仿宋_GB2312"/>
                <w:b/>
                <w:color w:val="auto"/>
                <w:kern w:val="0"/>
                <w:szCs w:val="21"/>
              </w:rPr>
              <w:t>功能分类科目编码</w:t>
            </w:r>
          </w:p>
        </w:tc>
        <w:tc>
          <w:tcPr>
            <w:tcW w:w="1320" w:type="dxa"/>
            <w:vMerge w:val="restart"/>
            <w:vAlign w:val="center"/>
          </w:tcPr>
          <w:p>
            <w:pPr>
              <w:widowControl/>
              <w:jc w:val="center"/>
              <w:rPr>
                <w:rFonts w:ascii="Times New Roman" w:hAnsi="Times New Roman" w:eastAsia="仿宋_GB2312"/>
                <w:b/>
                <w:color w:val="auto"/>
                <w:kern w:val="0"/>
                <w:szCs w:val="21"/>
              </w:rPr>
            </w:pPr>
            <w:r>
              <w:rPr>
                <w:rFonts w:hint="eastAsia" w:ascii="Times New Roman" w:hAnsi="Times New Roman" w:eastAsia="仿宋_GB2312"/>
                <w:b/>
                <w:color w:val="auto"/>
                <w:kern w:val="0"/>
                <w:szCs w:val="21"/>
              </w:rPr>
              <w:t>科目名称</w:t>
            </w:r>
          </w:p>
        </w:tc>
        <w:tc>
          <w:tcPr>
            <w:tcW w:w="2000" w:type="dxa"/>
            <w:vMerge w:val="continue"/>
            <w:vAlign w:val="center"/>
          </w:tcPr>
          <w:p>
            <w:pPr>
              <w:widowControl/>
              <w:jc w:val="left"/>
              <w:rPr>
                <w:rFonts w:ascii="Times New Roman" w:hAnsi="Times New Roman" w:eastAsia="仿宋_GB2312"/>
                <w:b/>
                <w:color w:val="auto"/>
                <w:kern w:val="0"/>
                <w:szCs w:val="21"/>
              </w:rPr>
            </w:pPr>
          </w:p>
        </w:tc>
        <w:tc>
          <w:tcPr>
            <w:tcW w:w="2000" w:type="dxa"/>
            <w:vMerge w:val="continue"/>
            <w:vAlign w:val="center"/>
          </w:tcPr>
          <w:p>
            <w:pPr>
              <w:widowControl/>
              <w:jc w:val="left"/>
              <w:rPr>
                <w:rFonts w:ascii="Times New Roman" w:hAnsi="Times New Roman" w:eastAsia="仿宋_GB2312"/>
                <w:b/>
                <w:color w:val="auto"/>
                <w:kern w:val="0"/>
                <w:szCs w:val="21"/>
              </w:rPr>
            </w:pPr>
          </w:p>
        </w:tc>
        <w:tc>
          <w:tcPr>
            <w:tcW w:w="2000" w:type="dxa"/>
            <w:vMerge w:val="restart"/>
            <w:vAlign w:val="center"/>
          </w:tcPr>
          <w:p>
            <w:pPr>
              <w:widowControl/>
              <w:jc w:val="center"/>
              <w:rPr>
                <w:rFonts w:ascii="Times New Roman" w:hAnsi="Times New Roman" w:eastAsia="仿宋_GB2312"/>
                <w:b/>
                <w:color w:val="auto"/>
                <w:kern w:val="0"/>
                <w:szCs w:val="21"/>
              </w:rPr>
            </w:pPr>
            <w:r>
              <w:rPr>
                <w:rFonts w:hint="eastAsia" w:ascii="Times New Roman" w:hAnsi="Times New Roman" w:eastAsia="仿宋_GB2312"/>
                <w:b/>
                <w:color w:val="auto"/>
                <w:kern w:val="0"/>
                <w:szCs w:val="21"/>
              </w:rPr>
              <w:t>小计</w:t>
            </w:r>
          </w:p>
        </w:tc>
        <w:tc>
          <w:tcPr>
            <w:tcW w:w="2000" w:type="dxa"/>
            <w:vMerge w:val="restart"/>
            <w:vAlign w:val="center"/>
          </w:tcPr>
          <w:p>
            <w:pPr>
              <w:widowControl/>
              <w:jc w:val="center"/>
              <w:rPr>
                <w:rFonts w:ascii="Times New Roman" w:hAnsi="Times New Roman" w:eastAsia="仿宋_GB2312"/>
                <w:b/>
                <w:color w:val="auto"/>
                <w:kern w:val="0"/>
                <w:szCs w:val="21"/>
              </w:rPr>
            </w:pPr>
            <w:r>
              <w:rPr>
                <w:rFonts w:hint="eastAsia" w:ascii="Times New Roman" w:hAnsi="Times New Roman" w:eastAsia="仿宋_GB2312"/>
                <w:b/>
                <w:color w:val="auto"/>
                <w:kern w:val="0"/>
                <w:szCs w:val="21"/>
              </w:rPr>
              <w:t>基本支出</w:t>
            </w:r>
            <w:r>
              <w:rPr>
                <w:rFonts w:ascii="Times New Roman" w:hAnsi="Times New Roman" w:eastAsia="仿宋_GB2312"/>
                <w:b/>
                <w:color w:val="auto"/>
                <w:kern w:val="0"/>
                <w:szCs w:val="21"/>
              </w:rPr>
              <w:t xml:space="preserve">  </w:t>
            </w:r>
          </w:p>
        </w:tc>
        <w:tc>
          <w:tcPr>
            <w:tcW w:w="2000" w:type="dxa"/>
            <w:vMerge w:val="restart"/>
            <w:vAlign w:val="center"/>
          </w:tcPr>
          <w:p>
            <w:pPr>
              <w:widowControl/>
              <w:jc w:val="center"/>
              <w:rPr>
                <w:rFonts w:ascii="Times New Roman" w:hAnsi="Times New Roman" w:eastAsia="仿宋_GB2312"/>
                <w:b/>
                <w:color w:val="auto"/>
                <w:kern w:val="0"/>
                <w:szCs w:val="21"/>
              </w:rPr>
            </w:pPr>
            <w:r>
              <w:rPr>
                <w:rFonts w:hint="eastAsia" w:ascii="Times New Roman" w:hAnsi="Times New Roman" w:eastAsia="仿宋_GB2312"/>
                <w:b/>
                <w:color w:val="auto"/>
                <w:kern w:val="0"/>
                <w:szCs w:val="21"/>
              </w:rPr>
              <w:t>项目支出</w:t>
            </w:r>
          </w:p>
        </w:tc>
        <w:tc>
          <w:tcPr>
            <w:tcW w:w="2000" w:type="dxa"/>
            <w:vMerge w:val="continue"/>
            <w:vAlign w:val="center"/>
          </w:tcPr>
          <w:p>
            <w:pPr>
              <w:widowControl/>
              <w:jc w:val="left"/>
              <w:rPr>
                <w:rFonts w:ascii="Times New Roman" w:hAnsi="Times New Roman" w:eastAsia="仿宋_GB2312"/>
                <w:b/>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olor w:val="auto"/>
                <w:kern w:val="0"/>
                <w:szCs w:val="21"/>
              </w:rPr>
            </w:pPr>
          </w:p>
        </w:tc>
        <w:tc>
          <w:tcPr>
            <w:tcW w:w="1320" w:type="dxa"/>
            <w:vMerge w:val="continue"/>
            <w:vAlign w:val="center"/>
          </w:tcPr>
          <w:p>
            <w:pPr>
              <w:widowControl/>
              <w:jc w:val="left"/>
              <w:rPr>
                <w:rFonts w:ascii="Times New Roman" w:hAnsi="Times New Roman" w:eastAsia="仿宋_GB2312"/>
                <w:color w:val="auto"/>
                <w:kern w:val="0"/>
                <w:szCs w:val="21"/>
              </w:rPr>
            </w:pPr>
          </w:p>
        </w:tc>
        <w:tc>
          <w:tcPr>
            <w:tcW w:w="2000" w:type="dxa"/>
            <w:vMerge w:val="continue"/>
            <w:vAlign w:val="center"/>
          </w:tcPr>
          <w:p>
            <w:pPr>
              <w:widowControl/>
              <w:jc w:val="left"/>
              <w:rPr>
                <w:rFonts w:ascii="Times New Roman" w:hAnsi="Times New Roman" w:eastAsia="仿宋_GB2312"/>
                <w:color w:val="auto"/>
                <w:kern w:val="0"/>
                <w:szCs w:val="21"/>
              </w:rPr>
            </w:pPr>
          </w:p>
        </w:tc>
        <w:tc>
          <w:tcPr>
            <w:tcW w:w="2000" w:type="dxa"/>
            <w:vMerge w:val="continue"/>
            <w:vAlign w:val="center"/>
          </w:tcPr>
          <w:p>
            <w:pPr>
              <w:widowControl/>
              <w:jc w:val="left"/>
              <w:rPr>
                <w:rFonts w:ascii="Times New Roman" w:hAnsi="Times New Roman" w:eastAsia="仿宋_GB2312"/>
                <w:color w:val="auto"/>
                <w:kern w:val="0"/>
                <w:szCs w:val="21"/>
              </w:rPr>
            </w:pPr>
          </w:p>
        </w:tc>
        <w:tc>
          <w:tcPr>
            <w:tcW w:w="2000" w:type="dxa"/>
            <w:vMerge w:val="continue"/>
            <w:vAlign w:val="center"/>
          </w:tcPr>
          <w:p>
            <w:pPr>
              <w:widowControl/>
              <w:jc w:val="left"/>
              <w:rPr>
                <w:rFonts w:ascii="Times New Roman" w:hAnsi="Times New Roman" w:eastAsia="仿宋_GB2312"/>
                <w:color w:val="auto"/>
                <w:kern w:val="0"/>
                <w:szCs w:val="21"/>
              </w:rPr>
            </w:pPr>
          </w:p>
        </w:tc>
        <w:tc>
          <w:tcPr>
            <w:tcW w:w="2000" w:type="dxa"/>
            <w:vMerge w:val="continue"/>
            <w:vAlign w:val="center"/>
          </w:tcPr>
          <w:p>
            <w:pPr>
              <w:widowControl/>
              <w:jc w:val="left"/>
              <w:rPr>
                <w:rFonts w:ascii="Times New Roman" w:hAnsi="Times New Roman" w:eastAsia="仿宋_GB2312"/>
                <w:color w:val="auto"/>
                <w:kern w:val="0"/>
                <w:szCs w:val="21"/>
              </w:rPr>
            </w:pPr>
          </w:p>
        </w:tc>
        <w:tc>
          <w:tcPr>
            <w:tcW w:w="2000" w:type="dxa"/>
            <w:vMerge w:val="continue"/>
            <w:vAlign w:val="center"/>
          </w:tcPr>
          <w:p>
            <w:pPr>
              <w:widowControl/>
              <w:jc w:val="left"/>
              <w:rPr>
                <w:rFonts w:ascii="Times New Roman" w:hAnsi="Times New Roman" w:eastAsia="仿宋_GB2312"/>
                <w:color w:val="auto"/>
                <w:kern w:val="0"/>
                <w:szCs w:val="21"/>
              </w:rPr>
            </w:pPr>
          </w:p>
        </w:tc>
        <w:tc>
          <w:tcPr>
            <w:tcW w:w="2000" w:type="dxa"/>
            <w:vMerge w:val="continue"/>
            <w:vAlign w:val="center"/>
          </w:tcPr>
          <w:p>
            <w:pPr>
              <w:widowControl/>
              <w:jc w:val="left"/>
              <w:rPr>
                <w:rFonts w:ascii="Times New Roman" w:hAnsi="Times New Roman" w:eastAsia="仿宋_GB2312"/>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1120" w:type="dxa"/>
            <w:vMerge w:val="continue"/>
            <w:vAlign w:val="center"/>
          </w:tcPr>
          <w:p>
            <w:pPr>
              <w:widowControl/>
              <w:jc w:val="left"/>
              <w:rPr>
                <w:rFonts w:ascii="Times New Roman" w:hAnsi="Times New Roman" w:eastAsia="仿宋_GB2312"/>
                <w:color w:val="auto"/>
                <w:kern w:val="0"/>
                <w:szCs w:val="21"/>
              </w:rPr>
            </w:pPr>
          </w:p>
        </w:tc>
        <w:tc>
          <w:tcPr>
            <w:tcW w:w="1320" w:type="dxa"/>
            <w:vMerge w:val="continue"/>
            <w:vAlign w:val="center"/>
          </w:tcPr>
          <w:p>
            <w:pPr>
              <w:widowControl/>
              <w:jc w:val="left"/>
              <w:rPr>
                <w:rFonts w:ascii="Times New Roman" w:hAnsi="Times New Roman" w:eastAsia="仿宋_GB2312"/>
                <w:color w:val="auto"/>
                <w:kern w:val="0"/>
                <w:szCs w:val="21"/>
              </w:rPr>
            </w:pPr>
          </w:p>
        </w:tc>
        <w:tc>
          <w:tcPr>
            <w:tcW w:w="2000" w:type="dxa"/>
            <w:vMerge w:val="continue"/>
            <w:vAlign w:val="center"/>
          </w:tcPr>
          <w:p>
            <w:pPr>
              <w:widowControl/>
              <w:jc w:val="left"/>
              <w:rPr>
                <w:rFonts w:ascii="Times New Roman" w:hAnsi="Times New Roman" w:eastAsia="仿宋_GB2312"/>
                <w:color w:val="auto"/>
                <w:kern w:val="0"/>
                <w:szCs w:val="21"/>
              </w:rPr>
            </w:pPr>
          </w:p>
        </w:tc>
        <w:tc>
          <w:tcPr>
            <w:tcW w:w="2000" w:type="dxa"/>
            <w:vMerge w:val="continue"/>
            <w:vAlign w:val="center"/>
          </w:tcPr>
          <w:p>
            <w:pPr>
              <w:widowControl/>
              <w:jc w:val="left"/>
              <w:rPr>
                <w:rFonts w:ascii="Times New Roman" w:hAnsi="Times New Roman" w:eastAsia="仿宋_GB2312"/>
                <w:color w:val="auto"/>
                <w:kern w:val="0"/>
                <w:szCs w:val="21"/>
              </w:rPr>
            </w:pPr>
          </w:p>
        </w:tc>
        <w:tc>
          <w:tcPr>
            <w:tcW w:w="2000" w:type="dxa"/>
            <w:vMerge w:val="continue"/>
            <w:vAlign w:val="center"/>
          </w:tcPr>
          <w:p>
            <w:pPr>
              <w:widowControl/>
              <w:jc w:val="left"/>
              <w:rPr>
                <w:rFonts w:ascii="Times New Roman" w:hAnsi="Times New Roman" w:eastAsia="仿宋_GB2312"/>
                <w:color w:val="auto"/>
                <w:kern w:val="0"/>
                <w:szCs w:val="21"/>
              </w:rPr>
            </w:pPr>
          </w:p>
        </w:tc>
        <w:tc>
          <w:tcPr>
            <w:tcW w:w="2000" w:type="dxa"/>
            <w:vMerge w:val="continue"/>
            <w:vAlign w:val="center"/>
          </w:tcPr>
          <w:p>
            <w:pPr>
              <w:widowControl/>
              <w:jc w:val="left"/>
              <w:rPr>
                <w:rFonts w:ascii="Times New Roman" w:hAnsi="Times New Roman" w:eastAsia="仿宋_GB2312"/>
                <w:color w:val="auto"/>
                <w:kern w:val="0"/>
                <w:szCs w:val="21"/>
              </w:rPr>
            </w:pPr>
          </w:p>
        </w:tc>
        <w:tc>
          <w:tcPr>
            <w:tcW w:w="2000" w:type="dxa"/>
            <w:vMerge w:val="continue"/>
            <w:vAlign w:val="center"/>
          </w:tcPr>
          <w:p>
            <w:pPr>
              <w:widowControl/>
              <w:jc w:val="left"/>
              <w:rPr>
                <w:rFonts w:ascii="Times New Roman" w:hAnsi="Times New Roman" w:eastAsia="仿宋_GB2312"/>
                <w:color w:val="auto"/>
                <w:kern w:val="0"/>
                <w:szCs w:val="21"/>
              </w:rPr>
            </w:pPr>
          </w:p>
        </w:tc>
        <w:tc>
          <w:tcPr>
            <w:tcW w:w="2000" w:type="dxa"/>
            <w:vMerge w:val="continue"/>
            <w:vAlign w:val="center"/>
          </w:tcPr>
          <w:p>
            <w:pPr>
              <w:widowControl/>
              <w:jc w:val="left"/>
              <w:rPr>
                <w:rFonts w:ascii="Times New Roman" w:hAnsi="Times New Roman" w:eastAsia="仿宋_GB2312"/>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rPr>
              <w:t>栏次</w:t>
            </w:r>
          </w:p>
        </w:tc>
        <w:tc>
          <w:tcPr>
            <w:tcW w:w="2000" w:type="dxa"/>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1</w:t>
            </w:r>
          </w:p>
        </w:tc>
        <w:tc>
          <w:tcPr>
            <w:tcW w:w="2000" w:type="dxa"/>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2</w:t>
            </w:r>
          </w:p>
        </w:tc>
        <w:tc>
          <w:tcPr>
            <w:tcW w:w="2000" w:type="dxa"/>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3</w:t>
            </w:r>
          </w:p>
        </w:tc>
        <w:tc>
          <w:tcPr>
            <w:tcW w:w="2000" w:type="dxa"/>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4</w:t>
            </w:r>
          </w:p>
        </w:tc>
        <w:tc>
          <w:tcPr>
            <w:tcW w:w="2000" w:type="dxa"/>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5</w:t>
            </w:r>
          </w:p>
        </w:tc>
        <w:tc>
          <w:tcPr>
            <w:tcW w:w="2000" w:type="dxa"/>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rPr>
              <w:t>合计</w:t>
            </w:r>
          </w:p>
        </w:tc>
        <w:tc>
          <w:tcPr>
            <w:tcW w:w="2000" w:type="dxa"/>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rPr>
              <w:t>　</w:t>
            </w:r>
            <w:r>
              <w:rPr>
                <w:rFonts w:ascii="Times New Roman" w:hAnsi="Times New Roman" w:eastAsia="仿宋_GB2312"/>
                <w:color w:val="auto"/>
                <w:kern w:val="0"/>
                <w:szCs w:val="21"/>
              </w:rPr>
              <w:t>0.00</w:t>
            </w:r>
          </w:p>
        </w:tc>
        <w:tc>
          <w:tcPr>
            <w:tcW w:w="2000" w:type="dxa"/>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0.00</w:t>
            </w:r>
          </w:p>
        </w:tc>
        <w:tc>
          <w:tcPr>
            <w:tcW w:w="2000" w:type="dxa"/>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rPr>
              <w:t>　</w:t>
            </w:r>
            <w:r>
              <w:rPr>
                <w:rFonts w:ascii="Times New Roman" w:hAnsi="Times New Roman" w:eastAsia="仿宋_GB2312"/>
                <w:color w:val="auto"/>
                <w:kern w:val="0"/>
                <w:szCs w:val="21"/>
              </w:rPr>
              <w:t>0.00</w:t>
            </w:r>
          </w:p>
        </w:tc>
        <w:tc>
          <w:tcPr>
            <w:tcW w:w="2000" w:type="dxa"/>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0.00</w:t>
            </w:r>
            <w:r>
              <w:rPr>
                <w:rFonts w:hint="eastAsia" w:ascii="Times New Roman" w:hAnsi="Times New Roman" w:eastAsia="仿宋_GB2312"/>
                <w:color w:val="auto"/>
                <w:kern w:val="0"/>
                <w:szCs w:val="21"/>
              </w:rPr>
              <w:t>　</w:t>
            </w:r>
          </w:p>
        </w:tc>
        <w:tc>
          <w:tcPr>
            <w:tcW w:w="2000" w:type="dxa"/>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0.00</w:t>
            </w:r>
            <w:r>
              <w:rPr>
                <w:rFonts w:hint="eastAsia" w:ascii="Times New Roman" w:hAnsi="Times New Roman" w:eastAsia="仿宋_GB2312"/>
                <w:color w:val="auto"/>
                <w:kern w:val="0"/>
                <w:szCs w:val="21"/>
              </w:rPr>
              <w:t>　</w:t>
            </w:r>
          </w:p>
        </w:tc>
        <w:tc>
          <w:tcPr>
            <w:tcW w:w="2000" w:type="dxa"/>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0.00</w:t>
            </w:r>
            <w:r>
              <w:rPr>
                <w:rFonts w:hint="eastAsia" w:ascii="Times New Roman" w:hAnsi="Times New Roman" w:eastAsia="仿宋_GB2312"/>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rPr>
              <w:t>　</w:t>
            </w:r>
          </w:p>
        </w:tc>
        <w:tc>
          <w:tcPr>
            <w:tcW w:w="1320" w:type="dxa"/>
            <w:vAlign w:val="center"/>
          </w:tcPr>
          <w:p>
            <w:pPr>
              <w:widowControl/>
              <w:jc w:val="left"/>
              <w:rPr>
                <w:rFonts w:ascii="Times New Roman" w:hAnsi="Times New Roman" w:eastAsia="仿宋_GB2312"/>
                <w:color w:val="auto"/>
                <w:kern w:val="0"/>
                <w:szCs w:val="21"/>
              </w:rPr>
            </w:pPr>
            <w:r>
              <w:rPr>
                <w:rFonts w:hint="eastAsia" w:ascii="Times New Roman" w:hAnsi="Times New Roman" w:eastAsia="仿宋_GB2312"/>
                <w:color w:val="auto"/>
                <w:kern w:val="0"/>
                <w:szCs w:val="21"/>
              </w:rPr>
              <w:t>　</w:t>
            </w:r>
          </w:p>
        </w:tc>
        <w:tc>
          <w:tcPr>
            <w:tcW w:w="2000" w:type="dxa"/>
            <w:vAlign w:val="center"/>
          </w:tcPr>
          <w:p>
            <w:pPr>
              <w:widowControl/>
              <w:jc w:val="left"/>
              <w:rPr>
                <w:rFonts w:ascii="Times New Roman" w:hAnsi="Times New Roman" w:eastAsia="仿宋_GB2312"/>
                <w:color w:val="auto"/>
                <w:kern w:val="0"/>
                <w:szCs w:val="21"/>
              </w:rPr>
            </w:pPr>
            <w:r>
              <w:rPr>
                <w:rFonts w:hint="eastAsia" w:ascii="Times New Roman" w:hAnsi="Times New Roman" w:eastAsia="仿宋_GB2312"/>
                <w:color w:val="auto"/>
                <w:kern w:val="0"/>
                <w:szCs w:val="21"/>
              </w:rPr>
              <w:t>　</w:t>
            </w:r>
          </w:p>
        </w:tc>
        <w:tc>
          <w:tcPr>
            <w:tcW w:w="2000" w:type="dxa"/>
            <w:vAlign w:val="center"/>
          </w:tcPr>
          <w:p>
            <w:pPr>
              <w:widowControl/>
              <w:jc w:val="left"/>
              <w:rPr>
                <w:rFonts w:ascii="Times New Roman" w:hAnsi="Times New Roman" w:eastAsia="仿宋_GB2312"/>
                <w:color w:val="auto"/>
                <w:kern w:val="0"/>
                <w:szCs w:val="21"/>
              </w:rPr>
            </w:pPr>
            <w:r>
              <w:rPr>
                <w:rFonts w:hint="eastAsia" w:ascii="Times New Roman" w:hAnsi="Times New Roman" w:eastAsia="仿宋_GB2312"/>
                <w:color w:val="auto"/>
                <w:kern w:val="0"/>
                <w:szCs w:val="21"/>
              </w:rPr>
              <w:t>　</w:t>
            </w:r>
          </w:p>
        </w:tc>
        <w:tc>
          <w:tcPr>
            <w:tcW w:w="2000" w:type="dxa"/>
            <w:vAlign w:val="center"/>
          </w:tcPr>
          <w:p>
            <w:pPr>
              <w:widowControl/>
              <w:jc w:val="left"/>
              <w:rPr>
                <w:rFonts w:ascii="Times New Roman" w:hAnsi="Times New Roman" w:eastAsia="仿宋_GB2312"/>
                <w:color w:val="auto"/>
                <w:kern w:val="0"/>
                <w:szCs w:val="21"/>
              </w:rPr>
            </w:pPr>
            <w:r>
              <w:rPr>
                <w:rFonts w:hint="eastAsia" w:ascii="Times New Roman" w:hAnsi="Times New Roman" w:eastAsia="仿宋_GB2312"/>
                <w:color w:val="auto"/>
                <w:kern w:val="0"/>
                <w:szCs w:val="21"/>
              </w:rPr>
              <w:t>　</w:t>
            </w:r>
          </w:p>
        </w:tc>
        <w:tc>
          <w:tcPr>
            <w:tcW w:w="2000" w:type="dxa"/>
            <w:vAlign w:val="center"/>
          </w:tcPr>
          <w:p>
            <w:pPr>
              <w:widowControl/>
              <w:jc w:val="left"/>
              <w:rPr>
                <w:rFonts w:ascii="Times New Roman" w:hAnsi="Times New Roman" w:eastAsia="仿宋_GB2312"/>
                <w:color w:val="auto"/>
                <w:kern w:val="0"/>
                <w:szCs w:val="21"/>
              </w:rPr>
            </w:pPr>
            <w:r>
              <w:rPr>
                <w:rFonts w:hint="eastAsia" w:ascii="Times New Roman" w:hAnsi="Times New Roman" w:eastAsia="仿宋_GB2312"/>
                <w:color w:val="auto"/>
                <w:kern w:val="0"/>
                <w:szCs w:val="21"/>
              </w:rPr>
              <w:t>　</w:t>
            </w:r>
          </w:p>
        </w:tc>
        <w:tc>
          <w:tcPr>
            <w:tcW w:w="2000" w:type="dxa"/>
            <w:vAlign w:val="center"/>
          </w:tcPr>
          <w:p>
            <w:pPr>
              <w:widowControl/>
              <w:jc w:val="left"/>
              <w:rPr>
                <w:rFonts w:ascii="Times New Roman" w:hAnsi="Times New Roman" w:eastAsia="仿宋_GB2312"/>
                <w:color w:val="auto"/>
                <w:kern w:val="0"/>
                <w:szCs w:val="21"/>
              </w:rPr>
            </w:pPr>
            <w:r>
              <w:rPr>
                <w:rFonts w:hint="eastAsia" w:ascii="Times New Roman" w:hAnsi="Times New Roman" w:eastAsia="仿宋_GB2312"/>
                <w:color w:val="auto"/>
                <w:kern w:val="0"/>
                <w:szCs w:val="21"/>
              </w:rPr>
              <w:t>　</w:t>
            </w:r>
          </w:p>
        </w:tc>
        <w:tc>
          <w:tcPr>
            <w:tcW w:w="2000" w:type="dxa"/>
            <w:vAlign w:val="center"/>
          </w:tcPr>
          <w:p>
            <w:pPr>
              <w:widowControl/>
              <w:jc w:val="left"/>
              <w:rPr>
                <w:rFonts w:ascii="Times New Roman" w:hAnsi="Times New Roman" w:eastAsia="仿宋_GB2312"/>
                <w:color w:val="auto"/>
                <w:kern w:val="0"/>
                <w:szCs w:val="21"/>
              </w:rPr>
            </w:pPr>
            <w:r>
              <w:rPr>
                <w:rFonts w:hint="eastAsia" w:ascii="Times New Roman" w:hAnsi="Times New Roman" w:eastAsia="仿宋_GB2312"/>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1120" w:type="dxa"/>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rPr>
              <w:t>　</w:t>
            </w:r>
          </w:p>
        </w:tc>
        <w:tc>
          <w:tcPr>
            <w:tcW w:w="1320" w:type="dxa"/>
            <w:vAlign w:val="center"/>
          </w:tcPr>
          <w:p>
            <w:pPr>
              <w:widowControl/>
              <w:jc w:val="left"/>
              <w:rPr>
                <w:rFonts w:ascii="Times New Roman" w:hAnsi="Times New Roman" w:eastAsia="仿宋_GB2312"/>
                <w:color w:val="auto"/>
                <w:kern w:val="0"/>
                <w:szCs w:val="21"/>
              </w:rPr>
            </w:pPr>
            <w:r>
              <w:rPr>
                <w:rFonts w:hint="eastAsia" w:ascii="Times New Roman" w:hAnsi="Times New Roman" w:eastAsia="仿宋_GB2312"/>
                <w:color w:val="auto"/>
                <w:kern w:val="0"/>
                <w:szCs w:val="21"/>
              </w:rPr>
              <w:t>　</w:t>
            </w:r>
          </w:p>
        </w:tc>
        <w:tc>
          <w:tcPr>
            <w:tcW w:w="2000" w:type="dxa"/>
            <w:vAlign w:val="center"/>
          </w:tcPr>
          <w:p>
            <w:pPr>
              <w:widowControl/>
              <w:jc w:val="left"/>
              <w:rPr>
                <w:rFonts w:ascii="Times New Roman" w:hAnsi="Times New Roman" w:eastAsia="仿宋_GB2312"/>
                <w:color w:val="auto"/>
                <w:kern w:val="0"/>
                <w:szCs w:val="21"/>
              </w:rPr>
            </w:pPr>
            <w:r>
              <w:rPr>
                <w:rFonts w:hint="eastAsia" w:ascii="Times New Roman" w:hAnsi="Times New Roman" w:eastAsia="仿宋_GB2312"/>
                <w:color w:val="auto"/>
                <w:kern w:val="0"/>
                <w:szCs w:val="21"/>
              </w:rPr>
              <w:t>　</w:t>
            </w:r>
          </w:p>
        </w:tc>
        <w:tc>
          <w:tcPr>
            <w:tcW w:w="2000" w:type="dxa"/>
            <w:vAlign w:val="center"/>
          </w:tcPr>
          <w:p>
            <w:pPr>
              <w:widowControl/>
              <w:jc w:val="left"/>
              <w:rPr>
                <w:rFonts w:ascii="Times New Roman" w:hAnsi="Times New Roman" w:eastAsia="仿宋_GB2312"/>
                <w:color w:val="auto"/>
                <w:kern w:val="0"/>
                <w:szCs w:val="21"/>
              </w:rPr>
            </w:pPr>
            <w:r>
              <w:rPr>
                <w:rFonts w:hint="eastAsia" w:ascii="Times New Roman" w:hAnsi="Times New Roman" w:eastAsia="仿宋_GB2312"/>
                <w:color w:val="auto"/>
                <w:kern w:val="0"/>
                <w:szCs w:val="21"/>
              </w:rPr>
              <w:t>　</w:t>
            </w:r>
          </w:p>
        </w:tc>
        <w:tc>
          <w:tcPr>
            <w:tcW w:w="2000" w:type="dxa"/>
            <w:vAlign w:val="center"/>
          </w:tcPr>
          <w:p>
            <w:pPr>
              <w:widowControl/>
              <w:jc w:val="left"/>
              <w:rPr>
                <w:rFonts w:ascii="Times New Roman" w:hAnsi="Times New Roman" w:eastAsia="仿宋_GB2312"/>
                <w:color w:val="auto"/>
                <w:kern w:val="0"/>
                <w:szCs w:val="21"/>
              </w:rPr>
            </w:pPr>
            <w:r>
              <w:rPr>
                <w:rFonts w:hint="eastAsia" w:ascii="Times New Roman" w:hAnsi="Times New Roman" w:eastAsia="仿宋_GB2312"/>
                <w:color w:val="auto"/>
                <w:kern w:val="0"/>
                <w:szCs w:val="21"/>
              </w:rPr>
              <w:t>　</w:t>
            </w:r>
          </w:p>
        </w:tc>
        <w:tc>
          <w:tcPr>
            <w:tcW w:w="2000" w:type="dxa"/>
            <w:vAlign w:val="center"/>
          </w:tcPr>
          <w:p>
            <w:pPr>
              <w:widowControl/>
              <w:jc w:val="left"/>
              <w:rPr>
                <w:rFonts w:ascii="Times New Roman" w:hAnsi="Times New Roman" w:eastAsia="仿宋_GB2312"/>
                <w:color w:val="auto"/>
                <w:kern w:val="0"/>
                <w:szCs w:val="21"/>
              </w:rPr>
            </w:pPr>
            <w:r>
              <w:rPr>
                <w:rFonts w:hint="eastAsia" w:ascii="Times New Roman" w:hAnsi="Times New Roman" w:eastAsia="仿宋_GB2312"/>
                <w:color w:val="auto"/>
                <w:kern w:val="0"/>
                <w:szCs w:val="21"/>
              </w:rPr>
              <w:t>　</w:t>
            </w:r>
          </w:p>
        </w:tc>
        <w:tc>
          <w:tcPr>
            <w:tcW w:w="2000" w:type="dxa"/>
            <w:vAlign w:val="center"/>
          </w:tcPr>
          <w:p>
            <w:pPr>
              <w:widowControl/>
              <w:jc w:val="left"/>
              <w:rPr>
                <w:rFonts w:ascii="Times New Roman" w:hAnsi="Times New Roman" w:eastAsia="仿宋_GB2312"/>
                <w:color w:val="auto"/>
                <w:kern w:val="0"/>
                <w:szCs w:val="21"/>
              </w:rPr>
            </w:pPr>
            <w:r>
              <w:rPr>
                <w:rFonts w:hint="eastAsia" w:ascii="Times New Roman" w:hAnsi="Times New Roman" w:eastAsia="仿宋_GB2312"/>
                <w:color w:val="auto"/>
                <w:kern w:val="0"/>
                <w:szCs w:val="21"/>
              </w:rPr>
              <w:t>　</w:t>
            </w:r>
          </w:p>
        </w:tc>
        <w:tc>
          <w:tcPr>
            <w:tcW w:w="2000" w:type="dxa"/>
            <w:vAlign w:val="center"/>
          </w:tcPr>
          <w:p>
            <w:pPr>
              <w:widowControl/>
              <w:jc w:val="left"/>
              <w:rPr>
                <w:rFonts w:ascii="Times New Roman" w:hAnsi="Times New Roman" w:eastAsia="仿宋_GB2312"/>
                <w:color w:val="auto"/>
                <w:kern w:val="0"/>
                <w:szCs w:val="21"/>
              </w:rPr>
            </w:pPr>
            <w:r>
              <w:rPr>
                <w:rFonts w:hint="eastAsia" w:ascii="Times New Roman" w:hAnsi="Times New Roman" w:eastAsia="仿宋_GB2312"/>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rPr>
              <w:t>　</w:t>
            </w:r>
          </w:p>
        </w:tc>
        <w:tc>
          <w:tcPr>
            <w:tcW w:w="1320" w:type="dxa"/>
            <w:vAlign w:val="center"/>
          </w:tcPr>
          <w:p>
            <w:pPr>
              <w:widowControl/>
              <w:jc w:val="left"/>
              <w:rPr>
                <w:rFonts w:ascii="Times New Roman" w:hAnsi="Times New Roman" w:eastAsia="仿宋_GB2312"/>
                <w:color w:val="auto"/>
                <w:kern w:val="0"/>
                <w:szCs w:val="21"/>
              </w:rPr>
            </w:pPr>
            <w:r>
              <w:rPr>
                <w:rFonts w:hint="eastAsia" w:ascii="Times New Roman" w:hAnsi="Times New Roman" w:eastAsia="仿宋_GB2312"/>
                <w:color w:val="auto"/>
                <w:kern w:val="0"/>
                <w:szCs w:val="21"/>
              </w:rPr>
              <w:t>　</w:t>
            </w:r>
          </w:p>
        </w:tc>
        <w:tc>
          <w:tcPr>
            <w:tcW w:w="2000" w:type="dxa"/>
            <w:vAlign w:val="center"/>
          </w:tcPr>
          <w:p>
            <w:pPr>
              <w:widowControl/>
              <w:jc w:val="left"/>
              <w:rPr>
                <w:rFonts w:ascii="Times New Roman" w:hAnsi="Times New Roman" w:eastAsia="仿宋_GB2312"/>
                <w:color w:val="auto"/>
                <w:kern w:val="0"/>
                <w:szCs w:val="21"/>
              </w:rPr>
            </w:pPr>
            <w:r>
              <w:rPr>
                <w:rFonts w:hint="eastAsia" w:ascii="Times New Roman" w:hAnsi="Times New Roman" w:eastAsia="仿宋_GB2312"/>
                <w:color w:val="auto"/>
                <w:kern w:val="0"/>
                <w:szCs w:val="21"/>
              </w:rPr>
              <w:t>　</w:t>
            </w:r>
          </w:p>
        </w:tc>
        <w:tc>
          <w:tcPr>
            <w:tcW w:w="2000" w:type="dxa"/>
            <w:vAlign w:val="center"/>
          </w:tcPr>
          <w:p>
            <w:pPr>
              <w:widowControl/>
              <w:jc w:val="left"/>
              <w:rPr>
                <w:rFonts w:ascii="Times New Roman" w:hAnsi="Times New Roman" w:eastAsia="仿宋_GB2312"/>
                <w:color w:val="auto"/>
                <w:kern w:val="0"/>
                <w:szCs w:val="21"/>
              </w:rPr>
            </w:pPr>
            <w:r>
              <w:rPr>
                <w:rFonts w:hint="eastAsia" w:ascii="Times New Roman" w:hAnsi="Times New Roman" w:eastAsia="仿宋_GB2312"/>
                <w:color w:val="auto"/>
                <w:kern w:val="0"/>
                <w:szCs w:val="21"/>
              </w:rPr>
              <w:t>　</w:t>
            </w:r>
          </w:p>
        </w:tc>
        <w:tc>
          <w:tcPr>
            <w:tcW w:w="2000" w:type="dxa"/>
            <w:vAlign w:val="center"/>
          </w:tcPr>
          <w:p>
            <w:pPr>
              <w:widowControl/>
              <w:jc w:val="left"/>
              <w:rPr>
                <w:rFonts w:ascii="Times New Roman" w:hAnsi="Times New Roman" w:eastAsia="仿宋_GB2312"/>
                <w:color w:val="auto"/>
                <w:kern w:val="0"/>
                <w:szCs w:val="21"/>
              </w:rPr>
            </w:pPr>
            <w:r>
              <w:rPr>
                <w:rFonts w:hint="eastAsia" w:ascii="Times New Roman" w:hAnsi="Times New Roman" w:eastAsia="仿宋_GB2312"/>
                <w:color w:val="auto"/>
                <w:kern w:val="0"/>
                <w:szCs w:val="21"/>
              </w:rPr>
              <w:t>　</w:t>
            </w:r>
          </w:p>
        </w:tc>
        <w:tc>
          <w:tcPr>
            <w:tcW w:w="2000" w:type="dxa"/>
            <w:vAlign w:val="center"/>
          </w:tcPr>
          <w:p>
            <w:pPr>
              <w:widowControl/>
              <w:jc w:val="left"/>
              <w:rPr>
                <w:rFonts w:ascii="Times New Roman" w:hAnsi="Times New Roman" w:eastAsia="仿宋_GB2312"/>
                <w:color w:val="auto"/>
                <w:kern w:val="0"/>
                <w:szCs w:val="21"/>
              </w:rPr>
            </w:pPr>
            <w:r>
              <w:rPr>
                <w:rFonts w:hint="eastAsia" w:ascii="Times New Roman" w:hAnsi="Times New Roman" w:eastAsia="仿宋_GB2312"/>
                <w:color w:val="auto"/>
                <w:kern w:val="0"/>
                <w:szCs w:val="21"/>
              </w:rPr>
              <w:t>　</w:t>
            </w:r>
          </w:p>
        </w:tc>
        <w:tc>
          <w:tcPr>
            <w:tcW w:w="2000" w:type="dxa"/>
            <w:vAlign w:val="center"/>
          </w:tcPr>
          <w:p>
            <w:pPr>
              <w:widowControl/>
              <w:jc w:val="left"/>
              <w:rPr>
                <w:rFonts w:ascii="Times New Roman" w:hAnsi="Times New Roman" w:eastAsia="仿宋_GB2312"/>
                <w:color w:val="auto"/>
                <w:kern w:val="0"/>
                <w:szCs w:val="21"/>
              </w:rPr>
            </w:pPr>
            <w:r>
              <w:rPr>
                <w:rFonts w:hint="eastAsia" w:ascii="Times New Roman" w:hAnsi="Times New Roman" w:eastAsia="仿宋_GB2312"/>
                <w:color w:val="auto"/>
                <w:kern w:val="0"/>
                <w:szCs w:val="21"/>
              </w:rPr>
              <w:t>　</w:t>
            </w:r>
          </w:p>
        </w:tc>
        <w:tc>
          <w:tcPr>
            <w:tcW w:w="2000" w:type="dxa"/>
            <w:vAlign w:val="center"/>
          </w:tcPr>
          <w:p>
            <w:pPr>
              <w:widowControl/>
              <w:jc w:val="left"/>
              <w:rPr>
                <w:rFonts w:ascii="Times New Roman" w:hAnsi="Times New Roman" w:eastAsia="仿宋_GB2312"/>
                <w:color w:val="auto"/>
                <w:kern w:val="0"/>
                <w:szCs w:val="21"/>
              </w:rPr>
            </w:pPr>
            <w:r>
              <w:rPr>
                <w:rFonts w:hint="eastAsia" w:ascii="Times New Roman" w:hAnsi="Times New Roman" w:eastAsia="仿宋_GB2312"/>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rPr>
              <w:t>　</w:t>
            </w:r>
          </w:p>
        </w:tc>
        <w:tc>
          <w:tcPr>
            <w:tcW w:w="1320" w:type="dxa"/>
            <w:vAlign w:val="center"/>
          </w:tcPr>
          <w:p>
            <w:pPr>
              <w:widowControl/>
              <w:jc w:val="left"/>
              <w:rPr>
                <w:rFonts w:ascii="Times New Roman" w:hAnsi="Times New Roman" w:eastAsia="仿宋_GB2312"/>
                <w:color w:val="auto"/>
                <w:kern w:val="0"/>
                <w:szCs w:val="21"/>
              </w:rPr>
            </w:pPr>
            <w:r>
              <w:rPr>
                <w:rFonts w:hint="eastAsia" w:ascii="Times New Roman" w:hAnsi="Times New Roman" w:eastAsia="仿宋_GB2312"/>
                <w:color w:val="auto"/>
                <w:kern w:val="0"/>
                <w:szCs w:val="21"/>
              </w:rPr>
              <w:t>　</w:t>
            </w:r>
          </w:p>
        </w:tc>
        <w:tc>
          <w:tcPr>
            <w:tcW w:w="2000" w:type="dxa"/>
            <w:vAlign w:val="center"/>
          </w:tcPr>
          <w:p>
            <w:pPr>
              <w:widowControl/>
              <w:jc w:val="left"/>
              <w:rPr>
                <w:rFonts w:ascii="Times New Roman" w:hAnsi="Times New Roman" w:eastAsia="仿宋_GB2312"/>
                <w:color w:val="auto"/>
                <w:kern w:val="0"/>
                <w:szCs w:val="21"/>
              </w:rPr>
            </w:pPr>
            <w:r>
              <w:rPr>
                <w:rFonts w:hint="eastAsia" w:ascii="Times New Roman" w:hAnsi="Times New Roman" w:eastAsia="仿宋_GB2312"/>
                <w:color w:val="auto"/>
                <w:kern w:val="0"/>
                <w:szCs w:val="21"/>
              </w:rPr>
              <w:t>　</w:t>
            </w:r>
          </w:p>
        </w:tc>
        <w:tc>
          <w:tcPr>
            <w:tcW w:w="2000" w:type="dxa"/>
            <w:vAlign w:val="center"/>
          </w:tcPr>
          <w:p>
            <w:pPr>
              <w:widowControl/>
              <w:jc w:val="left"/>
              <w:rPr>
                <w:rFonts w:ascii="Times New Roman" w:hAnsi="Times New Roman" w:eastAsia="仿宋_GB2312"/>
                <w:color w:val="auto"/>
                <w:kern w:val="0"/>
                <w:szCs w:val="21"/>
              </w:rPr>
            </w:pPr>
            <w:r>
              <w:rPr>
                <w:rFonts w:hint="eastAsia" w:ascii="Times New Roman" w:hAnsi="Times New Roman" w:eastAsia="仿宋_GB2312"/>
                <w:color w:val="auto"/>
                <w:kern w:val="0"/>
                <w:szCs w:val="21"/>
              </w:rPr>
              <w:t>　</w:t>
            </w:r>
          </w:p>
        </w:tc>
        <w:tc>
          <w:tcPr>
            <w:tcW w:w="2000" w:type="dxa"/>
            <w:vAlign w:val="center"/>
          </w:tcPr>
          <w:p>
            <w:pPr>
              <w:widowControl/>
              <w:jc w:val="left"/>
              <w:rPr>
                <w:rFonts w:ascii="Times New Roman" w:hAnsi="Times New Roman" w:eastAsia="仿宋_GB2312"/>
                <w:color w:val="auto"/>
                <w:kern w:val="0"/>
                <w:szCs w:val="21"/>
              </w:rPr>
            </w:pPr>
            <w:r>
              <w:rPr>
                <w:rFonts w:hint="eastAsia" w:ascii="Times New Roman" w:hAnsi="Times New Roman" w:eastAsia="仿宋_GB2312"/>
                <w:color w:val="auto"/>
                <w:kern w:val="0"/>
                <w:szCs w:val="21"/>
              </w:rPr>
              <w:t>　</w:t>
            </w:r>
          </w:p>
        </w:tc>
        <w:tc>
          <w:tcPr>
            <w:tcW w:w="2000" w:type="dxa"/>
            <w:vAlign w:val="center"/>
          </w:tcPr>
          <w:p>
            <w:pPr>
              <w:widowControl/>
              <w:jc w:val="left"/>
              <w:rPr>
                <w:rFonts w:ascii="Times New Roman" w:hAnsi="Times New Roman" w:eastAsia="仿宋_GB2312"/>
                <w:color w:val="auto"/>
                <w:kern w:val="0"/>
                <w:szCs w:val="21"/>
              </w:rPr>
            </w:pPr>
            <w:r>
              <w:rPr>
                <w:rFonts w:hint="eastAsia" w:ascii="Times New Roman" w:hAnsi="Times New Roman" w:eastAsia="仿宋_GB2312"/>
                <w:color w:val="auto"/>
                <w:kern w:val="0"/>
                <w:szCs w:val="21"/>
              </w:rPr>
              <w:t>　</w:t>
            </w:r>
          </w:p>
        </w:tc>
        <w:tc>
          <w:tcPr>
            <w:tcW w:w="2000" w:type="dxa"/>
            <w:vAlign w:val="center"/>
          </w:tcPr>
          <w:p>
            <w:pPr>
              <w:widowControl/>
              <w:jc w:val="left"/>
              <w:rPr>
                <w:rFonts w:ascii="Times New Roman" w:hAnsi="Times New Roman" w:eastAsia="仿宋_GB2312"/>
                <w:color w:val="auto"/>
                <w:kern w:val="0"/>
                <w:szCs w:val="21"/>
              </w:rPr>
            </w:pPr>
            <w:r>
              <w:rPr>
                <w:rFonts w:hint="eastAsia" w:ascii="Times New Roman" w:hAnsi="Times New Roman" w:eastAsia="仿宋_GB2312"/>
                <w:color w:val="auto"/>
                <w:kern w:val="0"/>
                <w:szCs w:val="21"/>
              </w:rPr>
              <w:t>　</w:t>
            </w:r>
          </w:p>
        </w:tc>
        <w:tc>
          <w:tcPr>
            <w:tcW w:w="2000" w:type="dxa"/>
            <w:vAlign w:val="center"/>
          </w:tcPr>
          <w:p>
            <w:pPr>
              <w:widowControl/>
              <w:jc w:val="left"/>
              <w:rPr>
                <w:rFonts w:ascii="Times New Roman" w:hAnsi="Times New Roman" w:eastAsia="仿宋_GB2312"/>
                <w:color w:val="auto"/>
                <w:kern w:val="0"/>
                <w:szCs w:val="21"/>
              </w:rPr>
            </w:pPr>
            <w:r>
              <w:rPr>
                <w:rFonts w:hint="eastAsia" w:ascii="Times New Roman" w:hAnsi="Times New Roman" w:eastAsia="仿宋_GB2312"/>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rPr>
              <w:t>　</w:t>
            </w:r>
          </w:p>
        </w:tc>
        <w:tc>
          <w:tcPr>
            <w:tcW w:w="1320" w:type="dxa"/>
            <w:vAlign w:val="center"/>
          </w:tcPr>
          <w:p>
            <w:pPr>
              <w:widowControl/>
              <w:jc w:val="left"/>
              <w:rPr>
                <w:rFonts w:ascii="Times New Roman" w:hAnsi="Times New Roman" w:eastAsia="仿宋_GB2312"/>
                <w:color w:val="auto"/>
                <w:kern w:val="0"/>
                <w:szCs w:val="21"/>
              </w:rPr>
            </w:pPr>
            <w:r>
              <w:rPr>
                <w:rFonts w:hint="eastAsia" w:ascii="Times New Roman" w:hAnsi="Times New Roman" w:eastAsia="仿宋_GB2312"/>
                <w:color w:val="auto"/>
                <w:kern w:val="0"/>
                <w:szCs w:val="21"/>
              </w:rPr>
              <w:t>　</w:t>
            </w:r>
          </w:p>
        </w:tc>
        <w:tc>
          <w:tcPr>
            <w:tcW w:w="2000" w:type="dxa"/>
            <w:vAlign w:val="center"/>
          </w:tcPr>
          <w:p>
            <w:pPr>
              <w:widowControl/>
              <w:jc w:val="left"/>
              <w:rPr>
                <w:rFonts w:ascii="Times New Roman" w:hAnsi="Times New Roman" w:eastAsia="仿宋_GB2312"/>
                <w:color w:val="auto"/>
                <w:kern w:val="0"/>
                <w:szCs w:val="21"/>
              </w:rPr>
            </w:pPr>
            <w:r>
              <w:rPr>
                <w:rFonts w:hint="eastAsia" w:ascii="Times New Roman" w:hAnsi="Times New Roman" w:eastAsia="仿宋_GB2312"/>
                <w:color w:val="auto"/>
                <w:kern w:val="0"/>
                <w:szCs w:val="21"/>
              </w:rPr>
              <w:t>　</w:t>
            </w:r>
          </w:p>
        </w:tc>
        <w:tc>
          <w:tcPr>
            <w:tcW w:w="2000" w:type="dxa"/>
            <w:vAlign w:val="center"/>
          </w:tcPr>
          <w:p>
            <w:pPr>
              <w:widowControl/>
              <w:jc w:val="left"/>
              <w:rPr>
                <w:rFonts w:ascii="Times New Roman" w:hAnsi="Times New Roman" w:eastAsia="仿宋_GB2312"/>
                <w:color w:val="auto"/>
                <w:kern w:val="0"/>
                <w:szCs w:val="21"/>
              </w:rPr>
            </w:pPr>
            <w:r>
              <w:rPr>
                <w:rFonts w:hint="eastAsia" w:ascii="Times New Roman" w:hAnsi="Times New Roman" w:eastAsia="仿宋_GB2312"/>
                <w:color w:val="auto"/>
                <w:kern w:val="0"/>
                <w:szCs w:val="21"/>
              </w:rPr>
              <w:t>　</w:t>
            </w:r>
          </w:p>
        </w:tc>
        <w:tc>
          <w:tcPr>
            <w:tcW w:w="2000" w:type="dxa"/>
            <w:vAlign w:val="center"/>
          </w:tcPr>
          <w:p>
            <w:pPr>
              <w:widowControl/>
              <w:jc w:val="left"/>
              <w:rPr>
                <w:rFonts w:ascii="Times New Roman" w:hAnsi="Times New Roman" w:eastAsia="仿宋_GB2312"/>
                <w:color w:val="auto"/>
                <w:kern w:val="0"/>
                <w:szCs w:val="21"/>
              </w:rPr>
            </w:pPr>
            <w:r>
              <w:rPr>
                <w:rFonts w:hint="eastAsia" w:ascii="Times New Roman" w:hAnsi="Times New Roman" w:eastAsia="仿宋_GB2312"/>
                <w:color w:val="auto"/>
                <w:kern w:val="0"/>
                <w:szCs w:val="21"/>
              </w:rPr>
              <w:t>　</w:t>
            </w:r>
          </w:p>
        </w:tc>
        <w:tc>
          <w:tcPr>
            <w:tcW w:w="2000" w:type="dxa"/>
            <w:vAlign w:val="center"/>
          </w:tcPr>
          <w:p>
            <w:pPr>
              <w:widowControl/>
              <w:jc w:val="left"/>
              <w:rPr>
                <w:rFonts w:ascii="Times New Roman" w:hAnsi="Times New Roman" w:eastAsia="仿宋_GB2312"/>
                <w:color w:val="auto"/>
                <w:kern w:val="0"/>
                <w:szCs w:val="21"/>
              </w:rPr>
            </w:pPr>
            <w:r>
              <w:rPr>
                <w:rFonts w:hint="eastAsia" w:ascii="Times New Roman" w:hAnsi="Times New Roman" w:eastAsia="仿宋_GB2312"/>
                <w:color w:val="auto"/>
                <w:kern w:val="0"/>
                <w:szCs w:val="21"/>
              </w:rPr>
              <w:t>　</w:t>
            </w:r>
          </w:p>
        </w:tc>
        <w:tc>
          <w:tcPr>
            <w:tcW w:w="2000" w:type="dxa"/>
            <w:vAlign w:val="center"/>
          </w:tcPr>
          <w:p>
            <w:pPr>
              <w:widowControl/>
              <w:jc w:val="left"/>
              <w:rPr>
                <w:rFonts w:ascii="Times New Roman" w:hAnsi="Times New Roman" w:eastAsia="仿宋_GB2312"/>
                <w:color w:val="auto"/>
                <w:kern w:val="0"/>
                <w:szCs w:val="21"/>
              </w:rPr>
            </w:pPr>
            <w:r>
              <w:rPr>
                <w:rFonts w:hint="eastAsia" w:ascii="Times New Roman" w:hAnsi="Times New Roman" w:eastAsia="仿宋_GB2312"/>
                <w:color w:val="auto"/>
                <w:kern w:val="0"/>
                <w:szCs w:val="21"/>
              </w:rPr>
              <w:t>　</w:t>
            </w:r>
          </w:p>
        </w:tc>
        <w:tc>
          <w:tcPr>
            <w:tcW w:w="2000" w:type="dxa"/>
            <w:vAlign w:val="center"/>
          </w:tcPr>
          <w:p>
            <w:pPr>
              <w:widowControl/>
              <w:jc w:val="left"/>
              <w:rPr>
                <w:rFonts w:ascii="Times New Roman" w:hAnsi="Times New Roman" w:eastAsia="仿宋_GB2312"/>
                <w:color w:val="auto"/>
                <w:kern w:val="0"/>
                <w:szCs w:val="21"/>
              </w:rPr>
            </w:pPr>
            <w:r>
              <w:rPr>
                <w:rFonts w:hint="eastAsia" w:ascii="Times New Roman" w:hAnsi="Times New Roman" w:eastAsia="仿宋_GB2312"/>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1120" w:type="dxa"/>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rPr>
              <w:t>　</w:t>
            </w:r>
          </w:p>
        </w:tc>
        <w:tc>
          <w:tcPr>
            <w:tcW w:w="1320" w:type="dxa"/>
            <w:vAlign w:val="center"/>
          </w:tcPr>
          <w:p>
            <w:pPr>
              <w:widowControl/>
              <w:jc w:val="left"/>
              <w:rPr>
                <w:rFonts w:ascii="Times New Roman" w:hAnsi="Times New Roman" w:eastAsia="仿宋_GB2312"/>
                <w:color w:val="auto"/>
                <w:kern w:val="0"/>
                <w:szCs w:val="21"/>
              </w:rPr>
            </w:pPr>
            <w:r>
              <w:rPr>
                <w:rFonts w:hint="eastAsia" w:ascii="Times New Roman" w:hAnsi="Times New Roman" w:eastAsia="仿宋_GB2312"/>
                <w:color w:val="auto"/>
                <w:kern w:val="0"/>
                <w:szCs w:val="21"/>
              </w:rPr>
              <w:t>　</w:t>
            </w:r>
          </w:p>
        </w:tc>
        <w:tc>
          <w:tcPr>
            <w:tcW w:w="12000" w:type="dxa"/>
            <w:gridSpan w:val="6"/>
            <w:vAlign w:val="center"/>
          </w:tcPr>
          <w:p>
            <w:pPr>
              <w:widowControl/>
              <w:jc w:val="left"/>
              <w:rPr>
                <w:rFonts w:ascii="Times New Roman" w:hAnsi="Times New Roman" w:eastAsia="仿宋_GB2312"/>
                <w:color w:val="auto"/>
                <w:kern w:val="0"/>
                <w:szCs w:val="21"/>
              </w:rPr>
            </w:pPr>
            <w:r>
              <w:rPr>
                <w:rFonts w:hint="eastAsia" w:ascii="Times New Roman" w:hAnsi="Times New Roman" w:eastAsia="仿宋_GB2312"/>
                <w:color w:val="auto"/>
                <w:kern w:val="0"/>
                <w:szCs w:val="21"/>
              </w:rPr>
              <w:t>　</w:t>
            </w:r>
            <w:r>
              <w:rPr>
                <w:rFonts w:hint="eastAsia" w:ascii="宋体" w:hAnsi="宋体" w:cs="宋体"/>
                <w:color w:val="auto"/>
                <w:kern w:val="0"/>
                <w:sz w:val="24"/>
                <w:szCs w:val="24"/>
              </w:rPr>
              <w:t>说明：我单位没有政府性基金收入，也没有使用政府性基金安排的支出，故本表无数据。</w:t>
            </w:r>
          </w:p>
        </w:tc>
      </w:tr>
    </w:tbl>
    <w:p>
      <w:pPr>
        <w:widowControl/>
        <w:jc w:val="left"/>
        <w:rPr>
          <w:rFonts w:ascii="宋体" w:cs="宋体"/>
          <w:color w:val="auto"/>
          <w:kern w:val="0"/>
          <w:sz w:val="24"/>
          <w:szCs w:val="24"/>
        </w:rPr>
      </w:pPr>
      <w:r>
        <w:rPr>
          <w:rFonts w:hint="eastAsia" w:ascii="宋体" w:hAnsi="宋体" w:cs="宋体"/>
          <w:color w:val="auto"/>
          <w:kern w:val="0"/>
          <w:sz w:val="24"/>
          <w:szCs w:val="24"/>
        </w:rPr>
        <w:t>注：本表反映部门本年度政府性基金预算财政拨款收入、支出及结转和结余情况</w:t>
      </w:r>
    </w:p>
    <w:p>
      <w:pPr>
        <w:widowControl/>
        <w:jc w:val="left"/>
        <w:rPr>
          <w:rFonts w:ascii="宋体" w:cs="宋体"/>
          <w:color w:val="auto"/>
          <w:sz w:val="24"/>
          <w:szCs w:val="24"/>
        </w:rPr>
      </w:pPr>
      <w:r>
        <w:rPr>
          <w:rFonts w:ascii="宋体" w:cs="宋体"/>
          <w:color w:val="auto"/>
          <w:sz w:val="24"/>
          <w:szCs w:val="24"/>
        </w:rPr>
        <w:br w:type="page"/>
      </w:r>
    </w:p>
    <w:tbl>
      <w:tblPr>
        <w:tblStyle w:val="7"/>
        <w:tblW w:w="14890" w:type="dxa"/>
        <w:tblInd w:w="93" w:type="dxa"/>
        <w:tblLayout w:type="autofit"/>
        <w:tblCellMar>
          <w:top w:w="0" w:type="dxa"/>
          <w:left w:w="108" w:type="dxa"/>
          <w:bottom w:w="0" w:type="dxa"/>
          <w:right w:w="108" w:type="dxa"/>
        </w:tblCellMar>
      </w:tblPr>
      <w:tblGrid>
        <w:gridCol w:w="1060"/>
        <w:gridCol w:w="560"/>
        <w:gridCol w:w="1570"/>
        <w:gridCol w:w="2088"/>
        <w:gridCol w:w="782"/>
        <w:gridCol w:w="1774"/>
        <w:gridCol w:w="846"/>
        <w:gridCol w:w="2694"/>
        <w:gridCol w:w="3516"/>
      </w:tblGrid>
      <w:tr>
        <w:tblPrEx>
          <w:tblCellMar>
            <w:top w:w="0" w:type="dxa"/>
            <w:left w:w="108" w:type="dxa"/>
            <w:bottom w:w="0" w:type="dxa"/>
            <w:right w:w="108" w:type="dxa"/>
          </w:tblCellMar>
        </w:tblPrEx>
        <w:trPr>
          <w:trHeight w:val="720" w:hRule="atLeast"/>
        </w:trPr>
        <w:tc>
          <w:tcPr>
            <w:tcW w:w="14890" w:type="dxa"/>
            <w:gridSpan w:val="9"/>
            <w:tcBorders>
              <w:top w:val="nil"/>
              <w:left w:val="nil"/>
              <w:bottom w:val="nil"/>
              <w:right w:val="nil"/>
            </w:tcBorders>
            <w:shd w:val="clear" w:color="000000" w:fill="auto"/>
            <w:vAlign w:val="center"/>
          </w:tcPr>
          <w:p>
            <w:pPr>
              <w:widowControl/>
              <w:jc w:val="center"/>
              <w:rPr>
                <w:rFonts w:ascii="华文中宋" w:hAnsi="华文中宋" w:eastAsia="华文中宋" w:cs="宋体"/>
                <w:color w:val="auto"/>
                <w:kern w:val="0"/>
                <w:sz w:val="32"/>
                <w:szCs w:val="32"/>
              </w:rPr>
            </w:pPr>
            <w:r>
              <w:rPr>
                <w:rFonts w:hint="eastAsia" w:ascii="华文中宋" w:hAnsi="华文中宋" w:eastAsia="华文中宋" w:cs="宋体"/>
                <w:color w:val="auto"/>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auto"/>
            <w:vAlign w:val="center"/>
          </w:tcPr>
          <w:p>
            <w:pPr>
              <w:widowControl/>
              <w:jc w:val="center"/>
              <w:rPr>
                <w:rFonts w:ascii="宋体" w:cs="宋体"/>
                <w:color w:val="auto"/>
                <w:kern w:val="0"/>
                <w:sz w:val="20"/>
                <w:szCs w:val="20"/>
              </w:rPr>
            </w:pPr>
            <w:r>
              <w:rPr>
                <w:rFonts w:hint="eastAsia" w:ascii="宋体" w:hAnsi="宋体" w:cs="宋体"/>
                <w:color w:val="auto"/>
                <w:kern w:val="0"/>
                <w:sz w:val="20"/>
                <w:szCs w:val="20"/>
              </w:rPr>
              <w:t>　</w:t>
            </w:r>
          </w:p>
        </w:tc>
        <w:tc>
          <w:tcPr>
            <w:tcW w:w="560" w:type="dxa"/>
            <w:tcBorders>
              <w:top w:val="nil"/>
              <w:left w:val="nil"/>
              <w:bottom w:val="nil"/>
              <w:right w:val="nil"/>
            </w:tcBorders>
            <w:shd w:val="clear" w:color="000000" w:fill="auto"/>
            <w:vAlign w:val="center"/>
          </w:tcPr>
          <w:p>
            <w:pPr>
              <w:widowControl/>
              <w:jc w:val="center"/>
              <w:rPr>
                <w:rFonts w:ascii="宋体" w:cs="宋体"/>
                <w:color w:val="auto"/>
                <w:kern w:val="0"/>
                <w:sz w:val="20"/>
                <w:szCs w:val="20"/>
              </w:rPr>
            </w:pPr>
            <w:r>
              <w:rPr>
                <w:rFonts w:hint="eastAsia" w:ascii="宋体" w:hAnsi="宋体" w:cs="宋体"/>
                <w:color w:val="auto"/>
                <w:kern w:val="0"/>
                <w:sz w:val="20"/>
                <w:szCs w:val="20"/>
              </w:rPr>
              <w:t>　</w:t>
            </w:r>
          </w:p>
        </w:tc>
        <w:tc>
          <w:tcPr>
            <w:tcW w:w="3658" w:type="dxa"/>
            <w:gridSpan w:val="2"/>
            <w:tcBorders>
              <w:top w:val="nil"/>
              <w:left w:val="nil"/>
              <w:bottom w:val="nil"/>
              <w:right w:val="nil"/>
            </w:tcBorders>
            <w:shd w:val="clear" w:color="000000" w:fill="auto"/>
            <w:vAlign w:val="center"/>
          </w:tcPr>
          <w:p>
            <w:pPr>
              <w:widowControl/>
              <w:jc w:val="center"/>
              <w:rPr>
                <w:rFonts w:ascii="宋体" w:cs="宋体"/>
                <w:color w:val="auto"/>
                <w:kern w:val="0"/>
                <w:sz w:val="20"/>
                <w:szCs w:val="20"/>
              </w:rPr>
            </w:pPr>
            <w:r>
              <w:rPr>
                <w:rFonts w:hint="eastAsia" w:ascii="宋体" w:hAnsi="宋体" w:cs="宋体"/>
                <w:color w:val="auto"/>
                <w:kern w:val="0"/>
                <w:sz w:val="20"/>
                <w:szCs w:val="20"/>
              </w:rPr>
              <w:t>　</w:t>
            </w:r>
          </w:p>
        </w:tc>
        <w:tc>
          <w:tcPr>
            <w:tcW w:w="782" w:type="dxa"/>
            <w:tcBorders>
              <w:top w:val="nil"/>
              <w:left w:val="nil"/>
              <w:bottom w:val="nil"/>
              <w:right w:val="nil"/>
            </w:tcBorders>
            <w:shd w:val="clear" w:color="000000" w:fill="auto"/>
            <w:vAlign w:val="center"/>
          </w:tcPr>
          <w:p>
            <w:pPr>
              <w:widowControl/>
              <w:jc w:val="left"/>
              <w:rPr>
                <w:rFonts w:ascii="宋体" w:cs="宋体"/>
                <w:color w:val="auto"/>
                <w:kern w:val="0"/>
                <w:sz w:val="20"/>
                <w:szCs w:val="20"/>
              </w:rPr>
            </w:pPr>
            <w:r>
              <w:rPr>
                <w:rFonts w:hint="eastAsia" w:ascii="宋体" w:hAnsi="宋体" w:cs="宋体"/>
                <w:color w:val="auto"/>
                <w:kern w:val="0"/>
                <w:sz w:val="20"/>
                <w:szCs w:val="20"/>
              </w:rPr>
              <w:t>　</w:t>
            </w:r>
          </w:p>
        </w:tc>
        <w:tc>
          <w:tcPr>
            <w:tcW w:w="2620" w:type="dxa"/>
            <w:gridSpan w:val="2"/>
            <w:tcBorders>
              <w:top w:val="nil"/>
              <w:left w:val="nil"/>
              <w:bottom w:val="nil"/>
              <w:right w:val="nil"/>
            </w:tcBorders>
            <w:shd w:val="clear" w:color="000000" w:fill="auto"/>
            <w:vAlign w:val="center"/>
          </w:tcPr>
          <w:p>
            <w:pPr>
              <w:widowControl/>
              <w:jc w:val="left"/>
              <w:rPr>
                <w:rFonts w:ascii="宋体" w:cs="宋体"/>
                <w:color w:val="auto"/>
                <w:kern w:val="0"/>
                <w:sz w:val="20"/>
                <w:szCs w:val="20"/>
              </w:rPr>
            </w:pPr>
            <w:r>
              <w:rPr>
                <w:rFonts w:hint="eastAsia" w:ascii="宋体" w:hAnsi="宋体" w:cs="宋体"/>
                <w:color w:val="auto"/>
                <w:kern w:val="0"/>
                <w:sz w:val="20"/>
                <w:szCs w:val="20"/>
              </w:rPr>
              <w:t>　</w:t>
            </w:r>
          </w:p>
        </w:tc>
        <w:tc>
          <w:tcPr>
            <w:tcW w:w="6210" w:type="dxa"/>
            <w:gridSpan w:val="2"/>
            <w:tcBorders>
              <w:top w:val="nil"/>
              <w:left w:val="nil"/>
              <w:bottom w:val="nil"/>
              <w:right w:val="nil"/>
            </w:tcBorders>
            <w:shd w:val="clear" w:color="000000" w:fill="auto"/>
            <w:noWrap/>
            <w:vAlign w:val="center"/>
          </w:tcPr>
          <w:p>
            <w:pPr>
              <w:widowControl/>
              <w:jc w:val="right"/>
              <w:rPr>
                <w:rFonts w:ascii="宋体" w:cs="宋体"/>
                <w:color w:val="auto"/>
                <w:kern w:val="0"/>
                <w:sz w:val="20"/>
                <w:szCs w:val="20"/>
              </w:rPr>
            </w:pPr>
            <w:r>
              <w:rPr>
                <w:rFonts w:hint="eastAsia" w:ascii="宋体" w:hAnsi="宋体" w:cs="宋体"/>
                <w:color w:val="auto"/>
                <w:kern w:val="0"/>
                <w:sz w:val="20"/>
                <w:szCs w:val="20"/>
              </w:rPr>
              <w:t>公开</w:t>
            </w:r>
            <w:r>
              <w:rPr>
                <w:rFonts w:ascii="宋体" w:hAnsi="宋体" w:cs="宋体"/>
                <w:color w:val="auto"/>
                <w:kern w:val="0"/>
                <w:sz w:val="20"/>
                <w:szCs w:val="20"/>
              </w:rPr>
              <w:t>09</w:t>
            </w:r>
            <w:r>
              <w:rPr>
                <w:rFonts w:hint="eastAsia" w:ascii="宋体" w:hAnsi="宋体" w:cs="宋体"/>
                <w:color w:val="auto"/>
                <w:kern w:val="0"/>
                <w:sz w:val="20"/>
                <w:szCs w:val="20"/>
              </w:rPr>
              <w:t>表</w:t>
            </w:r>
          </w:p>
        </w:tc>
      </w:tr>
      <w:tr>
        <w:tblPrEx>
          <w:tblCellMar>
            <w:top w:w="0" w:type="dxa"/>
            <w:left w:w="108" w:type="dxa"/>
            <w:bottom w:w="0" w:type="dxa"/>
            <w:right w:w="108" w:type="dxa"/>
          </w:tblCellMar>
        </w:tblPrEx>
        <w:trPr>
          <w:trHeight w:val="285" w:hRule="atLeast"/>
        </w:trPr>
        <w:tc>
          <w:tcPr>
            <w:tcW w:w="5278" w:type="dxa"/>
            <w:gridSpan w:val="4"/>
            <w:tcBorders>
              <w:top w:val="nil"/>
              <w:left w:val="nil"/>
              <w:bottom w:val="nil"/>
              <w:right w:val="nil"/>
            </w:tcBorders>
            <w:shd w:val="clear" w:color="000000" w:fill="auto"/>
            <w:noWrap/>
            <w:vAlign w:val="center"/>
          </w:tcPr>
          <w:p>
            <w:pPr>
              <w:widowControl/>
              <w:jc w:val="left"/>
              <w:rPr>
                <w:rFonts w:ascii="宋体" w:cs="宋体"/>
                <w:color w:val="auto"/>
                <w:kern w:val="0"/>
                <w:sz w:val="20"/>
                <w:szCs w:val="20"/>
              </w:rPr>
            </w:pPr>
            <w:r>
              <w:rPr>
                <w:rFonts w:hint="eastAsia" w:ascii="宋体" w:hAnsi="宋体" w:cs="宋体"/>
                <w:color w:val="auto"/>
                <w:kern w:val="0"/>
                <w:sz w:val="20"/>
                <w:szCs w:val="20"/>
              </w:rPr>
              <w:t>部门：　岳阳市市场监督管理局城陵矶新港区分局</w:t>
            </w:r>
          </w:p>
        </w:tc>
        <w:tc>
          <w:tcPr>
            <w:tcW w:w="782" w:type="dxa"/>
            <w:tcBorders>
              <w:top w:val="nil"/>
              <w:left w:val="nil"/>
              <w:bottom w:val="single" w:color="auto" w:sz="8" w:space="0"/>
              <w:right w:val="nil"/>
            </w:tcBorders>
            <w:shd w:val="clear" w:color="000000" w:fill="auto"/>
            <w:vAlign w:val="center"/>
          </w:tcPr>
          <w:p>
            <w:pPr>
              <w:widowControl/>
              <w:jc w:val="left"/>
              <w:rPr>
                <w:rFonts w:ascii="宋体" w:cs="宋体"/>
                <w:color w:val="auto"/>
                <w:kern w:val="0"/>
                <w:sz w:val="20"/>
                <w:szCs w:val="20"/>
              </w:rPr>
            </w:pPr>
            <w:r>
              <w:rPr>
                <w:rFonts w:hint="eastAsia" w:ascii="宋体" w:hAnsi="宋体" w:cs="宋体"/>
                <w:color w:val="auto"/>
                <w:kern w:val="0"/>
                <w:sz w:val="20"/>
                <w:szCs w:val="20"/>
              </w:rPr>
              <w:t>　</w:t>
            </w:r>
          </w:p>
        </w:tc>
        <w:tc>
          <w:tcPr>
            <w:tcW w:w="2620" w:type="dxa"/>
            <w:gridSpan w:val="2"/>
            <w:tcBorders>
              <w:top w:val="nil"/>
              <w:left w:val="nil"/>
              <w:bottom w:val="single" w:color="auto" w:sz="8" w:space="0"/>
              <w:right w:val="nil"/>
            </w:tcBorders>
            <w:shd w:val="clear" w:color="000000" w:fill="auto"/>
            <w:vAlign w:val="center"/>
          </w:tcPr>
          <w:p>
            <w:pPr>
              <w:widowControl/>
              <w:jc w:val="left"/>
              <w:rPr>
                <w:rFonts w:ascii="宋体" w:cs="宋体"/>
                <w:color w:val="auto"/>
                <w:kern w:val="0"/>
                <w:sz w:val="20"/>
                <w:szCs w:val="20"/>
              </w:rPr>
            </w:pPr>
            <w:r>
              <w:rPr>
                <w:rFonts w:hint="eastAsia" w:ascii="宋体" w:hAnsi="宋体" w:cs="宋体"/>
                <w:color w:val="auto"/>
                <w:kern w:val="0"/>
                <w:sz w:val="20"/>
                <w:szCs w:val="20"/>
              </w:rPr>
              <w:t>　</w:t>
            </w:r>
          </w:p>
        </w:tc>
        <w:tc>
          <w:tcPr>
            <w:tcW w:w="6210" w:type="dxa"/>
            <w:gridSpan w:val="2"/>
            <w:tcBorders>
              <w:top w:val="nil"/>
              <w:left w:val="nil"/>
              <w:bottom w:val="nil"/>
              <w:right w:val="nil"/>
            </w:tcBorders>
            <w:shd w:val="clear" w:color="000000" w:fill="auto"/>
            <w:noWrap/>
            <w:vAlign w:val="center"/>
          </w:tcPr>
          <w:p>
            <w:pPr>
              <w:widowControl/>
              <w:jc w:val="right"/>
              <w:rPr>
                <w:rFonts w:ascii="宋体" w:cs="宋体"/>
                <w:color w:val="auto"/>
                <w:kern w:val="0"/>
                <w:sz w:val="20"/>
                <w:szCs w:val="20"/>
              </w:rPr>
            </w:pPr>
            <w:r>
              <w:rPr>
                <w:rFonts w:hint="eastAsia" w:ascii="宋体" w:hAnsi="宋体" w:cs="宋体"/>
                <w:color w:val="auto"/>
                <w:kern w:val="0"/>
                <w:sz w:val="20"/>
                <w:szCs w:val="20"/>
              </w:rPr>
              <w:t>单位：万元</w:t>
            </w:r>
          </w:p>
        </w:tc>
      </w:tr>
      <w:tr>
        <w:tblPrEx>
          <w:tblCellMar>
            <w:top w:w="0" w:type="dxa"/>
            <w:left w:w="108" w:type="dxa"/>
            <w:bottom w:w="0" w:type="dxa"/>
            <w:right w:w="108" w:type="dxa"/>
          </w:tblCellMar>
        </w:tblPrEx>
        <w:trPr>
          <w:trHeight w:val="402" w:hRule="atLeast"/>
        </w:trPr>
        <w:tc>
          <w:tcPr>
            <w:tcW w:w="5278" w:type="dxa"/>
            <w:gridSpan w:val="4"/>
            <w:tcBorders>
              <w:top w:val="single" w:color="auto" w:sz="8" w:space="0"/>
              <w:left w:val="single" w:color="auto" w:sz="8" w:space="0"/>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项</w:t>
            </w:r>
            <w:r>
              <w:rPr>
                <w:rFonts w:ascii="宋体" w:hAnsi="宋体" w:cs="宋体"/>
                <w:color w:val="auto"/>
                <w:kern w:val="0"/>
                <w:sz w:val="24"/>
                <w:szCs w:val="24"/>
              </w:rPr>
              <w:t xml:space="preserve"> </w:t>
            </w:r>
            <w:r>
              <w:rPr>
                <w:rFonts w:hint="eastAsia" w:ascii="宋体" w:hAnsi="宋体" w:cs="宋体"/>
                <w:color w:val="auto"/>
                <w:kern w:val="0"/>
                <w:sz w:val="24"/>
                <w:szCs w:val="24"/>
              </w:rPr>
              <w:t>目</w:t>
            </w:r>
          </w:p>
        </w:tc>
        <w:tc>
          <w:tcPr>
            <w:tcW w:w="9612" w:type="dxa"/>
            <w:gridSpan w:val="5"/>
            <w:tcBorders>
              <w:top w:val="single" w:color="auto" w:sz="8" w:space="0"/>
              <w:left w:val="nil"/>
              <w:bottom w:val="single" w:color="auto" w:sz="4" w:space="0"/>
              <w:right w:val="single" w:color="000000"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本年支出</w:t>
            </w:r>
          </w:p>
        </w:tc>
      </w:tr>
      <w:tr>
        <w:tblPrEx>
          <w:tblCellMar>
            <w:top w:w="0" w:type="dxa"/>
            <w:left w:w="108" w:type="dxa"/>
            <w:bottom w:w="0" w:type="dxa"/>
            <w:right w:w="108" w:type="dxa"/>
          </w:tblCellMar>
        </w:tblPrEx>
        <w:trPr>
          <w:trHeight w:val="402" w:hRule="atLeast"/>
        </w:trPr>
        <w:tc>
          <w:tcPr>
            <w:tcW w:w="3190" w:type="dxa"/>
            <w:gridSpan w:val="3"/>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功能分类科目编码</w:t>
            </w:r>
          </w:p>
        </w:tc>
        <w:tc>
          <w:tcPr>
            <w:tcW w:w="208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科目名称</w:t>
            </w:r>
          </w:p>
        </w:tc>
        <w:tc>
          <w:tcPr>
            <w:tcW w:w="2556"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合计</w:t>
            </w:r>
          </w:p>
        </w:tc>
        <w:tc>
          <w:tcPr>
            <w:tcW w:w="354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基本支出</w:t>
            </w:r>
            <w:r>
              <w:rPr>
                <w:rFonts w:ascii="宋体" w:hAnsi="宋体" w:cs="宋体"/>
                <w:color w:val="auto"/>
                <w:kern w:val="0"/>
                <w:sz w:val="24"/>
                <w:szCs w:val="24"/>
              </w:rPr>
              <w:t xml:space="preserve">  </w:t>
            </w:r>
          </w:p>
        </w:tc>
        <w:tc>
          <w:tcPr>
            <w:tcW w:w="351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项目支出</w:t>
            </w:r>
          </w:p>
        </w:tc>
      </w:tr>
      <w:tr>
        <w:tblPrEx>
          <w:tblCellMar>
            <w:top w:w="0" w:type="dxa"/>
            <w:left w:w="108" w:type="dxa"/>
            <w:bottom w:w="0" w:type="dxa"/>
            <w:right w:w="108" w:type="dxa"/>
          </w:tblCellMar>
        </w:tblPrEx>
        <w:trPr>
          <w:trHeight w:val="402" w:hRule="atLeast"/>
        </w:trPr>
        <w:tc>
          <w:tcPr>
            <w:tcW w:w="3190"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cs="宋体"/>
                <w:color w:val="auto"/>
                <w:kern w:val="0"/>
                <w:sz w:val="24"/>
                <w:szCs w:val="24"/>
              </w:rPr>
            </w:pPr>
          </w:p>
        </w:tc>
        <w:tc>
          <w:tcPr>
            <w:tcW w:w="20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auto"/>
                <w:kern w:val="0"/>
                <w:sz w:val="24"/>
                <w:szCs w:val="24"/>
              </w:rPr>
            </w:pPr>
          </w:p>
        </w:tc>
        <w:tc>
          <w:tcPr>
            <w:tcW w:w="255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auto"/>
                <w:kern w:val="0"/>
                <w:sz w:val="24"/>
                <w:szCs w:val="24"/>
              </w:rPr>
            </w:pPr>
          </w:p>
        </w:tc>
        <w:tc>
          <w:tcPr>
            <w:tcW w:w="354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auto"/>
                <w:kern w:val="0"/>
                <w:sz w:val="24"/>
                <w:szCs w:val="24"/>
              </w:rPr>
            </w:pPr>
          </w:p>
        </w:tc>
        <w:tc>
          <w:tcPr>
            <w:tcW w:w="3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auto"/>
                <w:kern w:val="0"/>
                <w:sz w:val="24"/>
                <w:szCs w:val="24"/>
              </w:rPr>
            </w:pPr>
          </w:p>
        </w:tc>
      </w:tr>
      <w:tr>
        <w:tblPrEx>
          <w:tblCellMar>
            <w:top w:w="0" w:type="dxa"/>
            <w:left w:w="108" w:type="dxa"/>
            <w:bottom w:w="0" w:type="dxa"/>
            <w:right w:w="108" w:type="dxa"/>
          </w:tblCellMar>
        </w:tblPrEx>
        <w:trPr>
          <w:trHeight w:val="402" w:hRule="atLeast"/>
        </w:trPr>
        <w:tc>
          <w:tcPr>
            <w:tcW w:w="3190"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cs="宋体"/>
                <w:color w:val="auto"/>
                <w:kern w:val="0"/>
                <w:sz w:val="24"/>
                <w:szCs w:val="24"/>
              </w:rPr>
            </w:pPr>
          </w:p>
        </w:tc>
        <w:tc>
          <w:tcPr>
            <w:tcW w:w="20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auto"/>
                <w:kern w:val="0"/>
                <w:sz w:val="24"/>
                <w:szCs w:val="24"/>
              </w:rPr>
            </w:pPr>
          </w:p>
        </w:tc>
        <w:tc>
          <w:tcPr>
            <w:tcW w:w="255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auto"/>
                <w:kern w:val="0"/>
                <w:sz w:val="24"/>
                <w:szCs w:val="24"/>
              </w:rPr>
            </w:pPr>
          </w:p>
        </w:tc>
        <w:tc>
          <w:tcPr>
            <w:tcW w:w="354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auto"/>
                <w:kern w:val="0"/>
                <w:sz w:val="24"/>
                <w:szCs w:val="24"/>
              </w:rPr>
            </w:pPr>
          </w:p>
        </w:tc>
        <w:tc>
          <w:tcPr>
            <w:tcW w:w="3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auto"/>
                <w:kern w:val="0"/>
                <w:sz w:val="24"/>
                <w:szCs w:val="24"/>
              </w:rPr>
            </w:pPr>
          </w:p>
        </w:tc>
      </w:tr>
      <w:tr>
        <w:tblPrEx>
          <w:tblCellMar>
            <w:top w:w="0" w:type="dxa"/>
            <w:left w:w="108" w:type="dxa"/>
            <w:bottom w:w="0" w:type="dxa"/>
            <w:right w:w="108" w:type="dxa"/>
          </w:tblCellMar>
        </w:tblPrEx>
        <w:trPr>
          <w:trHeight w:val="402" w:hRule="atLeast"/>
        </w:trPr>
        <w:tc>
          <w:tcPr>
            <w:tcW w:w="5278" w:type="dxa"/>
            <w:gridSpan w:val="4"/>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栏次</w:t>
            </w:r>
          </w:p>
        </w:tc>
        <w:tc>
          <w:tcPr>
            <w:tcW w:w="2556" w:type="dxa"/>
            <w:gridSpan w:val="2"/>
            <w:tcBorders>
              <w:top w:val="nil"/>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ascii="宋体" w:hAnsi="宋体" w:cs="宋体"/>
                <w:color w:val="auto"/>
                <w:kern w:val="0"/>
                <w:sz w:val="24"/>
                <w:szCs w:val="24"/>
              </w:rPr>
              <w:t>1</w:t>
            </w:r>
          </w:p>
        </w:tc>
        <w:tc>
          <w:tcPr>
            <w:tcW w:w="3540" w:type="dxa"/>
            <w:gridSpan w:val="2"/>
            <w:tcBorders>
              <w:top w:val="nil"/>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ascii="宋体" w:hAnsi="宋体" w:cs="宋体"/>
                <w:color w:val="auto"/>
                <w:kern w:val="0"/>
                <w:sz w:val="24"/>
                <w:szCs w:val="24"/>
              </w:rPr>
              <w:t>2</w:t>
            </w:r>
          </w:p>
        </w:tc>
        <w:tc>
          <w:tcPr>
            <w:tcW w:w="3516"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ascii="宋体" w:hAnsi="宋体" w:cs="宋体"/>
                <w:color w:val="auto"/>
                <w:kern w:val="0"/>
                <w:sz w:val="24"/>
                <w:szCs w:val="24"/>
              </w:rPr>
              <w:t>3</w:t>
            </w:r>
          </w:p>
        </w:tc>
      </w:tr>
      <w:tr>
        <w:tblPrEx>
          <w:tblCellMar>
            <w:top w:w="0" w:type="dxa"/>
            <w:left w:w="108" w:type="dxa"/>
            <w:bottom w:w="0" w:type="dxa"/>
            <w:right w:w="108" w:type="dxa"/>
          </w:tblCellMar>
        </w:tblPrEx>
        <w:trPr>
          <w:trHeight w:val="402" w:hRule="atLeast"/>
        </w:trPr>
        <w:tc>
          <w:tcPr>
            <w:tcW w:w="5278" w:type="dxa"/>
            <w:gridSpan w:val="4"/>
            <w:tcBorders>
              <w:top w:val="nil"/>
              <w:left w:val="single" w:color="auto" w:sz="8" w:space="0"/>
              <w:bottom w:val="single" w:color="auto" w:sz="4" w:space="0"/>
              <w:right w:val="single" w:color="000000"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合计</w:t>
            </w:r>
          </w:p>
        </w:tc>
        <w:tc>
          <w:tcPr>
            <w:tcW w:w="2556" w:type="dxa"/>
            <w:gridSpan w:val="2"/>
            <w:tcBorders>
              <w:top w:val="nil"/>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　</w:t>
            </w:r>
            <w:r>
              <w:rPr>
                <w:rFonts w:ascii="宋体" w:cs="宋体"/>
                <w:color w:val="auto"/>
                <w:kern w:val="0"/>
                <w:sz w:val="24"/>
                <w:szCs w:val="24"/>
              </w:rPr>
              <w:t>0.00</w:t>
            </w:r>
          </w:p>
        </w:tc>
        <w:tc>
          <w:tcPr>
            <w:tcW w:w="3540" w:type="dxa"/>
            <w:gridSpan w:val="2"/>
            <w:tcBorders>
              <w:top w:val="nil"/>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ascii="宋体" w:cs="宋体"/>
                <w:color w:val="auto"/>
                <w:kern w:val="0"/>
                <w:sz w:val="24"/>
                <w:szCs w:val="24"/>
              </w:rPr>
              <w:t>0.00</w:t>
            </w:r>
            <w:r>
              <w:rPr>
                <w:rFonts w:hint="eastAsia" w:ascii="宋体" w:hAnsi="宋体" w:cs="宋体"/>
                <w:color w:val="auto"/>
                <w:kern w:val="0"/>
                <w:sz w:val="24"/>
                <w:szCs w:val="24"/>
              </w:rPr>
              <w:t>　</w:t>
            </w:r>
          </w:p>
        </w:tc>
        <w:tc>
          <w:tcPr>
            <w:tcW w:w="3516"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ascii="宋体" w:cs="宋体"/>
                <w:color w:val="auto"/>
                <w:kern w:val="0"/>
                <w:sz w:val="24"/>
                <w:szCs w:val="24"/>
              </w:rPr>
              <w:t>0.00</w:t>
            </w: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　</w:t>
            </w:r>
          </w:p>
        </w:tc>
        <w:tc>
          <w:tcPr>
            <w:tcW w:w="3658" w:type="dxa"/>
            <w:gridSpan w:val="2"/>
            <w:tcBorders>
              <w:top w:val="nil"/>
              <w:left w:val="nil"/>
              <w:bottom w:val="single" w:color="auto" w:sz="4" w:space="0"/>
              <w:right w:val="single" w:color="auto" w:sz="4" w:space="0"/>
            </w:tcBorders>
            <w:vAlign w:val="center"/>
          </w:tcPr>
          <w:p>
            <w:pPr>
              <w:widowControl/>
              <w:jc w:val="left"/>
              <w:rPr>
                <w:rFonts w:ascii="宋体" w:cs="宋体"/>
                <w:color w:val="auto"/>
                <w:kern w:val="0"/>
                <w:sz w:val="20"/>
                <w:szCs w:val="20"/>
              </w:rPr>
            </w:pPr>
            <w:r>
              <w:rPr>
                <w:rFonts w:hint="eastAsia" w:ascii="宋体" w:hAnsi="宋体" w:cs="宋体"/>
                <w:color w:val="auto"/>
                <w:kern w:val="0"/>
                <w:sz w:val="20"/>
                <w:szCs w:val="20"/>
              </w:rPr>
              <w:t>　</w:t>
            </w:r>
          </w:p>
        </w:tc>
        <w:tc>
          <w:tcPr>
            <w:tcW w:w="2556" w:type="dxa"/>
            <w:gridSpan w:val="2"/>
            <w:tcBorders>
              <w:top w:val="nil"/>
              <w:left w:val="nil"/>
              <w:bottom w:val="single" w:color="auto" w:sz="4" w:space="0"/>
              <w:right w:val="single" w:color="auto" w:sz="4" w:space="0"/>
            </w:tcBorders>
            <w:vAlign w:val="center"/>
          </w:tcPr>
          <w:p>
            <w:pPr>
              <w:widowControl/>
              <w:jc w:val="left"/>
              <w:rPr>
                <w:rFonts w:ascii="宋体" w:cs="宋体"/>
                <w:color w:val="auto"/>
                <w:kern w:val="0"/>
                <w:sz w:val="24"/>
                <w:szCs w:val="24"/>
              </w:rPr>
            </w:pPr>
            <w:r>
              <w:rPr>
                <w:rFonts w:hint="eastAsia" w:ascii="宋体" w:hAnsi="宋体" w:cs="宋体"/>
                <w:color w:val="auto"/>
                <w:kern w:val="0"/>
                <w:sz w:val="24"/>
                <w:szCs w:val="24"/>
              </w:rPr>
              <w:t>　</w:t>
            </w:r>
          </w:p>
        </w:tc>
        <w:tc>
          <w:tcPr>
            <w:tcW w:w="3540" w:type="dxa"/>
            <w:gridSpan w:val="2"/>
            <w:tcBorders>
              <w:top w:val="nil"/>
              <w:left w:val="nil"/>
              <w:bottom w:val="single" w:color="auto" w:sz="4" w:space="0"/>
              <w:right w:val="single" w:color="auto" w:sz="4" w:space="0"/>
            </w:tcBorders>
            <w:vAlign w:val="center"/>
          </w:tcPr>
          <w:p>
            <w:pPr>
              <w:widowControl/>
              <w:jc w:val="left"/>
              <w:rPr>
                <w:rFonts w:ascii="宋体" w:cs="宋体"/>
                <w:color w:val="auto"/>
                <w:kern w:val="0"/>
                <w:sz w:val="24"/>
                <w:szCs w:val="24"/>
              </w:rPr>
            </w:pPr>
            <w:r>
              <w:rPr>
                <w:rFonts w:hint="eastAsia" w:ascii="宋体" w:hAnsi="宋体" w:cs="宋体"/>
                <w:color w:val="auto"/>
                <w:kern w:val="0"/>
                <w:sz w:val="24"/>
                <w:szCs w:val="24"/>
              </w:rPr>
              <w:t>　</w:t>
            </w:r>
          </w:p>
        </w:tc>
        <w:tc>
          <w:tcPr>
            <w:tcW w:w="3516" w:type="dxa"/>
            <w:tcBorders>
              <w:top w:val="nil"/>
              <w:left w:val="nil"/>
              <w:bottom w:val="single" w:color="auto" w:sz="4" w:space="0"/>
              <w:right w:val="single" w:color="auto" w:sz="4" w:space="0"/>
            </w:tcBorders>
            <w:vAlign w:val="center"/>
          </w:tcPr>
          <w:p>
            <w:pPr>
              <w:widowControl/>
              <w:jc w:val="left"/>
              <w:rPr>
                <w:rFonts w:asci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　</w:t>
            </w:r>
          </w:p>
        </w:tc>
        <w:tc>
          <w:tcPr>
            <w:tcW w:w="3658" w:type="dxa"/>
            <w:gridSpan w:val="2"/>
            <w:tcBorders>
              <w:top w:val="nil"/>
              <w:left w:val="nil"/>
              <w:bottom w:val="single" w:color="auto" w:sz="4" w:space="0"/>
              <w:right w:val="single" w:color="auto" w:sz="4" w:space="0"/>
            </w:tcBorders>
            <w:vAlign w:val="center"/>
          </w:tcPr>
          <w:p>
            <w:pPr>
              <w:widowControl/>
              <w:jc w:val="left"/>
              <w:rPr>
                <w:rFonts w:ascii="宋体" w:cs="宋体"/>
                <w:color w:val="auto"/>
                <w:kern w:val="0"/>
                <w:sz w:val="24"/>
                <w:szCs w:val="24"/>
              </w:rPr>
            </w:pPr>
            <w:r>
              <w:rPr>
                <w:rFonts w:hint="eastAsia" w:ascii="宋体" w:hAnsi="宋体" w:cs="宋体"/>
                <w:color w:val="auto"/>
                <w:kern w:val="0"/>
                <w:sz w:val="24"/>
                <w:szCs w:val="24"/>
              </w:rPr>
              <w:t>　</w:t>
            </w:r>
          </w:p>
        </w:tc>
        <w:tc>
          <w:tcPr>
            <w:tcW w:w="2556" w:type="dxa"/>
            <w:gridSpan w:val="2"/>
            <w:tcBorders>
              <w:top w:val="nil"/>
              <w:left w:val="nil"/>
              <w:bottom w:val="single" w:color="auto" w:sz="4" w:space="0"/>
              <w:right w:val="single" w:color="auto" w:sz="4" w:space="0"/>
            </w:tcBorders>
            <w:vAlign w:val="center"/>
          </w:tcPr>
          <w:p>
            <w:pPr>
              <w:widowControl/>
              <w:jc w:val="left"/>
              <w:rPr>
                <w:rFonts w:ascii="宋体" w:cs="宋体"/>
                <w:color w:val="auto"/>
                <w:kern w:val="0"/>
                <w:sz w:val="24"/>
                <w:szCs w:val="24"/>
              </w:rPr>
            </w:pPr>
            <w:r>
              <w:rPr>
                <w:rFonts w:hint="eastAsia" w:ascii="宋体" w:hAnsi="宋体" w:cs="宋体"/>
                <w:color w:val="auto"/>
                <w:kern w:val="0"/>
                <w:sz w:val="24"/>
                <w:szCs w:val="24"/>
              </w:rPr>
              <w:t>　</w:t>
            </w:r>
          </w:p>
        </w:tc>
        <w:tc>
          <w:tcPr>
            <w:tcW w:w="3540" w:type="dxa"/>
            <w:gridSpan w:val="2"/>
            <w:tcBorders>
              <w:top w:val="nil"/>
              <w:left w:val="nil"/>
              <w:bottom w:val="single" w:color="auto" w:sz="4" w:space="0"/>
              <w:right w:val="single" w:color="auto" w:sz="4" w:space="0"/>
            </w:tcBorders>
            <w:vAlign w:val="center"/>
          </w:tcPr>
          <w:p>
            <w:pPr>
              <w:widowControl/>
              <w:jc w:val="left"/>
              <w:rPr>
                <w:rFonts w:ascii="宋体" w:cs="宋体"/>
                <w:color w:val="auto"/>
                <w:kern w:val="0"/>
                <w:sz w:val="24"/>
                <w:szCs w:val="24"/>
              </w:rPr>
            </w:pPr>
            <w:r>
              <w:rPr>
                <w:rFonts w:hint="eastAsia" w:ascii="宋体" w:hAnsi="宋体" w:cs="宋体"/>
                <w:color w:val="auto"/>
                <w:kern w:val="0"/>
                <w:sz w:val="24"/>
                <w:szCs w:val="24"/>
              </w:rPr>
              <w:t>　</w:t>
            </w:r>
          </w:p>
        </w:tc>
        <w:tc>
          <w:tcPr>
            <w:tcW w:w="3516" w:type="dxa"/>
            <w:tcBorders>
              <w:top w:val="nil"/>
              <w:left w:val="nil"/>
              <w:bottom w:val="single" w:color="auto" w:sz="4" w:space="0"/>
              <w:right w:val="single" w:color="auto" w:sz="4" w:space="0"/>
            </w:tcBorders>
            <w:vAlign w:val="center"/>
          </w:tcPr>
          <w:p>
            <w:pPr>
              <w:widowControl/>
              <w:jc w:val="left"/>
              <w:rPr>
                <w:rFonts w:asci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　</w:t>
            </w:r>
          </w:p>
        </w:tc>
        <w:tc>
          <w:tcPr>
            <w:tcW w:w="3658" w:type="dxa"/>
            <w:gridSpan w:val="2"/>
            <w:tcBorders>
              <w:top w:val="nil"/>
              <w:left w:val="nil"/>
              <w:bottom w:val="single" w:color="auto" w:sz="4" w:space="0"/>
              <w:right w:val="single" w:color="auto" w:sz="4" w:space="0"/>
            </w:tcBorders>
            <w:vAlign w:val="center"/>
          </w:tcPr>
          <w:p>
            <w:pPr>
              <w:widowControl/>
              <w:jc w:val="left"/>
              <w:rPr>
                <w:rFonts w:ascii="宋体" w:cs="宋体"/>
                <w:color w:val="auto"/>
                <w:kern w:val="0"/>
                <w:sz w:val="20"/>
                <w:szCs w:val="20"/>
              </w:rPr>
            </w:pPr>
            <w:r>
              <w:rPr>
                <w:rFonts w:hint="eastAsia" w:ascii="宋体" w:hAnsi="宋体" w:cs="宋体"/>
                <w:color w:val="auto"/>
                <w:kern w:val="0"/>
                <w:sz w:val="20"/>
                <w:szCs w:val="20"/>
              </w:rPr>
              <w:t>　</w:t>
            </w:r>
          </w:p>
        </w:tc>
        <w:tc>
          <w:tcPr>
            <w:tcW w:w="2556" w:type="dxa"/>
            <w:gridSpan w:val="2"/>
            <w:tcBorders>
              <w:top w:val="nil"/>
              <w:left w:val="nil"/>
              <w:bottom w:val="single" w:color="auto" w:sz="4" w:space="0"/>
              <w:right w:val="single" w:color="auto" w:sz="4" w:space="0"/>
            </w:tcBorders>
            <w:vAlign w:val="center"/>
          </w:tcPr>
          <w:p>
            <w:pPr>
              <w:widowControl/>
              <w:jc w:val="left"/>
              <w:rPr>
                <w:rFonts w:ascii="宋体" w:cs="宋体"/>
                <w:color w:val="auto"/>
                <w:kern w:val="0"/>
                <w:sz w:val="24"/>
                <w:szCs w:val="24"/>
              </w:rPr>
            </w:pPr>
            <w:r>
              <w:rPr>
                <w:rFonts w:hint="eastAsia" w:ascii="宋体" w:hAnsi="宋体" w:cs="宋体"/>
                <w:color w:val="auto"/>
                <w:kern w:val="0"/>
                <w:sz w:val="24"/>
                <w:szCs w:val="24"/>
              </w:rPr>
              <w:t>　</w:t>
            </w:r>
          </w:p>
        </w:tc>
        <w:tc>
          <w:tcPr>
            <w:tcW w:w="3540" w:type="dxa"/>
            <w:gridSpan w:val="2"/>
            <w:tcBorders>
              <w:top w:val="nil"/>
              <w:left w:val="nil"/>
              <w:bottom w:val="single" w:color="auto" w:sz="4" w:space="0"/>
              <w:right w:val="single" w:color="auto" w:sz="4" w:space="0"/>
            </w:tcBorders>
            <w:vAlign w:val="center"/>
          </w:tcPr>
          <w:p>
            <w:pPr>
              <w:widowControl/>
              <w:jc w:val="left"/>
              <w:rPr>
                <w:rFonts w:ascii="宋体" w:cs="宋体"/>
                <w:color w:val="auto"/>
                <w:kern w:val="0"/>
                <w:sz w:val="24"/>
                <w:szCs w:val="24"/>
              </w:rPr>
            </w:pPr>
            <w:r>
              <w:rPr>
                <w:rFonts w:hint="eastAsia" w:ascii="宋体" w:hAnsi="宋体" w:cs="宋体"/>
                <w:color w:val="auto"/>
                <w:kern w:val="0"/>
                <w:sz w:val="24"/>
                <w:szCs w:val="24"/>
              </w:rPr>
              <w:t>　</w:t>
            </w:r>
          </w:p>
        </w:tc>
        <w:tc>
          <w:tcPr>
            <w:tcW w:w="3516" w:type="dxa"/>
            <w:tcBorders>
              <w:top w:val="nil"/>
              <w:left w:val="nil"/>
              <w:bottom w:val="single" w:color="auto" w:sz="4" w:space="0"/>
              <w:right w:val="single" w:color="auto" w:sz="4" w:space="0"/>
            </w:tcBorders>
            <w:vAlign w:val="center"/>
          </w:tcPr>
          <w:p>
            <w:pPr>
              <w:widowControl/>
              <w:jc w:val="left"/>
              <w:rPr>
                <w:rFonts w:asci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　</w:t>
            </w:r>
          </w:p>
        </w:tc>
        <w:tc>
          <w:tcPr>
            <w:tcW w:w="3658" w:type="dxa"/>
            <w:gridSpan w:val="2"/>
            <w:tcBorders>
              <w:top w:val="nil"/>
              <w:left w:val="nil"/>
              <w:bottom w:val="single" w:color="auto" w:sz="4" w:space="0"/>
              <w:right w:val="single" w:color="auto" w:sz="4" w:space="0"/>
            </w:tcBorders>
            <w:vAlign w:val="center"/>
          </w:tcPr>
          <w:p>
            <w:pPr>
              <w:widowControl/>
              <w:jc w:val="left"/>
              <w:rPr>
                <w:rFonts w:ascii="宋体" w:cs="宋体"/>
                <w:color w:val="auto"/>
                <w:kern w:val="0"/>
                <w:sz w:val="24"/>
                <w:szCs w:val="24"/>
              </w:rPr>
            </w:pPr>
            <w:r>
              <w:rPr>
                <w:rFonts w:hint="eastAsia" w:ascii="宋体" w:hAnsi="宋体" w:cs="宋体"/>
                <w:color w:val="auto"/>
                <w:kern w:val="0"/>
                <w:sz w:val="24"/>
                <w:szCs w:val="24"/>
              </w:rPr>
              <w:t>　</w:t>
            </w:r>
          </w:p>
        </w:tc>
        <w:tc>
          <w:tcPr>
            <w:tcW w:w="2556" w:type="dxa"/>
            <w:gridSpan w:val="2"/>
            <w:tcBorders>
              <w:top w:val="nil"/>
              <w:left w:val="nil"/>
              <w:bottom w:val="single" w:color="auto" w:sz="4" w:space="0"/>
              <w:right w:val="single" w:color="auto" w:sz="4" w:space="0"/>
            </w:tcBorders>
            <w:vAlign w:val="center"/>
          </w:tcPr>
          <w:p>
            <w:pPr>
              <w:widowControl/>
              <w:jc w:val="left"/>
              <w:rPr>
                <w:rFonts w:ascii="宋体" w:cs="宋体"/>
                <w:color w:val="auto"/>
                <w:kern w:val="0"/>
                <w:sz w:val="24"/>
                <w:szCs w:val="24"/>
              </w:rPr>
            </w:pPr>
            <w:r>
              <w:rPr>
                <w:rFonts w:hint="eastAsia" w:ascii="宋体" w:hAnsi="宋体" w:cs="宋体"/>
                <w:color w:val="auto"/>
                <w:kern w:val="0"/>
                <w:sz w:val="24"/>
                <w:szCs w:val="24"/>
              </w:rPr>
              <w:t>　</w:t>
            </w:r>
          </w:p>
        </w:tc>
        <w:tc>
          <w:tcPr>
            <w:tcW w:w="3540" w:type="dxa"/>
            <w:gridSpan w:val="2"/>
            <w:tcBorders>
              <w:top w:val="nil"/>
              <w:left w:val="nil"/>
              <w:bottom w:val="single" w:color="auto" w:sz="4" w:space="0"/>
              <w:right w:val="single" w:color="auto" w:sz="4" w:space="0"/>
            </w:tcBorders>
            <w:vAlign w:val="center"/>
          </w:tcPr>
          <w:p>
            <w:pPr>
              <w:widowControl/>
              <w:jc w:val="left"/>
              <w:rPr>
                <w:rFonts w:ascii="宋体" w:cs="宋体"/>
                <w:color w:val="auto"/>
                <w:kern w:val="0"/>
                <w:sz w:val="24"/>
                <w:szCs w:val="24"/>
              </w:rPr>
            </w:pPr>
            <w:r>
              <w:rPr>
                <w:rFonts w:hint="eastAsia" w:ascii="宋体" w:hAnsi="宋体" w:cs="宋体"/>
                <w:color w:val="auto"/>
                <w:kern w:val="0"/>
                <w:sz w:val="24"/>
                <w:szCs w:val="24"/>
              </w:rPr>
              <w:t>　</w:t>
            </w:r>
          </w:p>
        </w:tc>
        <w:tc>
          <w:tcPr>
            <w:tcW w:w="3516" w:type="dxa"/>
            <w:tcBorders>
              <w:top w:val="nil"/>
              <w:left w:val="nil"/>
              <w:bottom w:val="single" w:color="auto" w:sz="4" w:space="0"/>
              <w:right w:val="single" w:color="auto" w:sz="4" w:space="0"/>
            </w:tcBorders>
            <w:vAlign w:val="center"/>
          </w:tcPr>
          <w:p>
            <w:pPr>
              <w:widowControl/>
              <w:jc w:val="left"/>
              <w:rPr>
                <w:rFonts w:asci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　</w:t>
            </w:r>
          </w:p>
        </w:tc>
        <w:tc>
          <w:tcPr>
            <w:tcW w:w="3658" w:type="dxa"/>
            <w:gridSpan w:val="2"/>
            <w:tcBorders>
              <w:top w:val="nil"/>
              <w:left w:val="nil"/>
              <w:bottom w:val="single" w:color="auto" w:sz="4" w:space="0"/>
              <w:right w:val="single" w:color="auto" w:sz="4" w:space="0"/>
            </w:tcBorders>
            <w:vAlign w:val="center"/>
          </w:tcPr>
          <w:p>
            <w:pPr>
              <w:widowControl/>
              <w:jc w:val="left"/>
              <w:rPr>
                <w:rFonts w:ascii="宋体" w:cs="宋体"/>
                <w:color w:val="auto"/>
                <w:kern w:val="0"/>
                <w:sz w:val="24"/>
                <w:szCs w:val="24"/>
              </w:rPr>
            </w:pPr>
            <w:r>
              <w:rPr>
                <w:rFonts w:hint="eastAsia" w:ascii="宋体" w:hAnsi="宋体" w:cs="宋体"/>
                <w:color w:val="auto"/>
                <w:kern w:val="0"/>
                <w:sz w:val="24"/>
                <w:szCs w:val="24"/>
              </w:rPr>
              <w:t>　</w:t>
            </w:r>
          </w:p>
        </w:tc>
        <w:tc>
          <w:tcPr>
            <w:tcW w:w="2556" w:type="dxa"/>
            <w:gridSpan w:val="2"/>
            <w:tcBorders>
              <w:top w:val="nil"/>
              <w:left w:val="nil"/>
              <w:bottom w:val="single" w:color="auto" w:sz="4" w:space="0"/>
              <w:right w:val="single" w:color="auto" w:sz="4" w:space="0"/>
            </w:tcBorders>
            <w:vAlign w:val="center"/>
          </w:tcPr>
          <w:p>
            <w:pPr>
              <w:widowControl/>
              <w:jc w:val="left"/>
              <w:rPr>
                <w:rFonts w:ascii="宋体" w:cs="宋体"/>
                <w:color w:val="auto"/>
                <w:kern w:val="0"/>
                <w:sz w:val="24"/>
                <w:szCs w:val="24"/>
              </w:rPr>
            </w:pPr>
            <w:r>
              <w:rPr>
                <w:rFonts w:hint="eastAsia" w:ascii="宋体" w:hAnsi="宋体" w:cs="宋体"/>
                <w:color w:val="auto"/>
                <w:kern w:val="0"/>
                <w:sz w:val="24"/>
                <w:szCs w:val="24"/>
              </w:rPr>
              <w:t>　</w:t>
            </w:r>
          </w:p>
        </w:tc>
        <w:tc>
          <w:tcPr>
            <w:tcW w:w="3540" w:type="dxa"/>
            <w:gridSpan w:val="2"/>
            <w:tcBorders>
              <w:top w:val="nil"/>
              <w:left w:val="nil"/>
              <w:bottom w:val="single" w:color="auto" w:sz="4" w:space="0"/>
              <w:right w:val="single" w:color="auto" w:sz="4" w:space="0"/>
            </w:tcBorders>
            <w:vAlign w:val="center"/>
          </w:tcPr>
          <w:p>
            <w:pPr>
              <w:widowControl/>
              <w:jc w:val="left"/>
              <w:rPr>
                <w:rFonts w:ascii="宋体" w:cs="宋体"/>
                <w:color w:val="auto"/>
                <w:kern w:val="0"/>
                <w:sz w:val="24"/>
                <w:szCs w:val="24"/>
              </w:rPr>
            </w:pPr>
            <w:r>
              <w:rPr>
                <w:rFonts w:hint="eastAsia" w:ascii="宋体" w:hAnsi="宋体" w:cs="宋体"/>
                <w:color w:val="auto"/>
                <w:kern w:val="0"/>
                <w:sz w:val="24"/>
                <w:szCs w:val="24"/>
              </w:rPr>
              <w:t>　</w:t>
            </w:r>
          </w:p>
        </w:tc>
        <w:tc>
          <w:tcPr>
            <w:tcW w:w="3516" w:type="dxa"/>
            <w:tcBorders>
              <w:top w:val="nil"/>
              <w:left w:val="nil"/>
              <w:bottom w:val="single" w:color="auto" w:sz="4" w:space="0"/>
              <w:right w:val="single" w:color="auto" w:sz="4" w:space="0"/>
            </w:tcBorders>
            <w:vAlign w:val="center"/>
          </w:tcPr>
          <w:p>
            <w:pPr>
              <w:widowControl/>
              <w:jc w:val="left"/>
              <w:rPr>
                <w:rFonts w:asci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　</w:t>
            </w:r>
          </w:p>
        </w:tc>
        <w:tc>
          <w:tcPr>
            <w:tcW w:w="3658" w:type="dxa"/>
            <w:gridSpan w:val="2"/>
            <w:tcBorders>
              <w:top w:val="nil"/>
              <w:left w:val="nil"/>
              <w:bottom w:val="single" w:color="auto" w:sz="8" w:space="0"/>
              <w:right w:val="single" w:color="auto" w:sz="4" w:space="0"/>
            </w:tcBorders>
            <w:vAlign w:val="center"/>
          </w:tcPr>
          <w:p>
            <w:pPr>
              <w:widowControl/>
              <w:jc w:val="left"/>
              <w:rPr>
                <w:rFonts w:ascii="宋体" w:cs="宋体"/>
                <w:color w:val="auto"/>
                <w:kern w:val="0"/>
                <w:sz w:val="24"/>
                <w:szCs w:val="24"/>
              </w:rPr>
            </w:pPr>
            <w:r>
              <w:rPr>
                <w:rFonts w:hint="eastAsia" w:ascii="宋体" w:hAnsi="宋体" w:cs="宋体"/>
                <w:color w:val="auto"/>
                <w:kern w:val="0"/>
                <w:sz w:val="24"/>
                <w:szCs w:val="24"/>
              </w:rPr>
              <w:t>　</w:t>
            </w:r>
          </w:p>
        </w:tc>
        <w:tc>
          <w:tcPr>
            <w:tcW w:w="9612" w:type="dxa"/>
            <w:gridSpan w:val="5"/>
            <w:tcBorders>
              <w:top w:val="nil"/>
              <w:left w:val="nil"/>
              <w:bottom w:val="single" w:color="auto" w:sz="8" w:space="0"/>
              <w:right w:val="single" w:color="auto" w:sz="4" w:space="0"/>
            </w:tcBorders>
            <w:vAlign w:val="center"/>
          </w:tcPr>
          <w:p>
            <w:pPr>
              <w:widowControl/>
              <w:jc w:val="left"/>
              <w:rPr>
                <w:rFonts w:ascii="宋体" w:cs="宋体"/>
                <w:color w:val="auto"/>
                <w:kern w:val="0"/>
                <w:sz w:val="24"/>
                <w:szCs w:val="24"/>
              </w:rPr>
            </w:pPr>
            <w:r>
              <w:rPr>
                <w:rFonts w:hint="eastAsia" w:ascii="宋体" w:hAnsi="宋体" w:cs="宋体"/>
                <w:color w:val="auto"/>
                <w:kern w:val="0"/>
                <w:sz w:val="24"/>
                <w:szCs w:val="24"/>
              </w:rPr>
              <w:t>　</w:t>
            </w:r>
          </w:p>
          <w:p>
            <w:pPr>
              <w:widowControl/>
              <w:jc w:val="left"/>
              <w:rPr>
                <w:rFonts w:ascii="宋体" w:cs="宋体"/>
                <w:color w:val="auto"/>
                <w:kern w:val="0"/>
                <w:sz w:val="24"/>
                <w:szCs w:val="24"/>
              </w:rPr>
            </w:pPr>
            <w:r>
              <w:rPr>
                <w:rFonts w:hint="eastAsia" w:ascii="宋体" w:hAnsi="宋体" w:cs="宋体"/>
                <w:color w:val="auto"/>
                <w:kern w:val="0"/>
                <w:sz w:val="24"/>
                <w:szCs w:val="24"/>
              </w:rPr>
              <w:t>　说明：我单位没有使用国有资本经营预算安排的支出，故本表无数据。</w:t>
            </w:r>
          </w:p>
          <w:p>
            <w:pPr>
              <w:widowControl/>
              <w:jc w:val="left"/>
              <w:rPr>
                <w:rFonts w:asci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720" w:hRule="atLeast"/>
        </w:trPr>
        <w:tc>
          <w:tcPr>
            <w:tcW w:w="14890" w:type="dxa"/>
            <w:gridSpan w:val="9"/>
            <w:tcBorders>
              <w:top w:val="single" w:color="auto" w:sz="8" w:space="0"/>
              <w:left w:val="nil"/>
              <w:bottom w:val="nil"/>
              <w:right w:val="nil"/>
            </w:tcBorders>
            <w:vAlign w:val="center"/>
          </w:tcPr>
          <w:p>
            <w:pPr>
              <w:widowControl/>
              <w:jc w:val="left"/>
              <w:rPr>
                <w:rFonts w:ascii="Times New Roman" w:hAnsi="Times New Roman" w:eastAsia="仿宋_GB2312"/>
                <w:color w:val="auto"/>
                <w:kern w:val="0"/>
                <w:szCs w:val="21"/>
              </w:rPr>
            </w:pPr>
            <w:r>
              <w:rPr>
                <w:rFonts w:hint="eastAsia" w:ascii="宋体" w:hAnsi="宋体" w:cs="宋体"/>
                <w:color w:val="auto"/>
                <w:kern w:val="0"/>
                <w:sz w:val="24"/>
                <w:szCs w:val="24"/>
              </w:rPr>
              <w:t>注：本表反映部门本年度国有资本经营预算财政拨款支出情况。</w:t>
            </w:r>
          </w:p>
          <w:p>
            <w:pPr>
              <w:widowControl/>
              <w:jc w:val="left"/>
              <w:rPr>
                <w:rFonts w:ascii="宋体" w:cs="宋体"/>
                <w:color w:val="auto"/>
                <w:kern w:val="0"/>
                <w:sz w:val="24"/>
                <w:szCs w:val="24"/>
              </w:rPr>
            </w:pPr>
          </w:p>
        </w:tc>
      </w:tr>
    </w:tbl>
    <w:p>
      <w:pPr>
        <w:pStyle w:val="14"/>
        <w:rPr>
          <w:color w:val="auto"/>
          <w:sz w:val="72"/>
          <w:szCs w:val="72"/>
        </w:rPr>
        <w:sectPr>
          <w:pgSz w:w="16838" w:h="11906" w:orient="landscape"/>
          <w:pgMar w:top="720" w:right="720" w:bottom="720" w:left="720" w:header="851" w:footer="992" w:gutter="0"/>
          <w:cols w:space="425" w:num="1"/>
          <w:docGrid w:type="lines" w:linePitch="312" w:charSpace="0"/>
        </w:sectPr>
      </w:pPr>
    </w:p>
    <w:p>
      <w:pPr>
        <w:pStyle w:val="14"/>
        <w:jc w:val="center"/>
        <w:rPr>
          <w:color w:val="auto"/>
          <w:sz w:val="72"/>
          <w:szCs w:val="72"/>
        </w:rPr>
      </w:pPr>
    </w:p>
    <w:p>
      <w:pPr>
        <w:pStyle w:val="14"/>
        <w:jc w:val="center"/>
        <w:rPr>
          <w:color w:val="auto"/>
          <w:sz w:val="44"/>
          <w:szCs w:val="44"/>
        </w:rPr>
      </w:pPr>
      <w:r>
        <w:rPr>
          <w:rFonts w:hint="eastAsia"/>
          <w:color w:val="auto"/>
          <w:sz w:val="44"/>
          <w:szCs w:val="44"/>
        </w:rPr>
        <w:t>第三部分</w:t>
      </w:r>
    </w:p>
    <w:p>
      <w:pPr>
        <w:pStyle w:val="14"/>
        <w:jc w:val="center"/>
        <w:rPr>
          <w:color w:val="auto"/>
          <w:sz w:val="44"/>
          <w:szCs w:val="44"/>
        </w:rPr>
      </w:pPr>
    </w:p>
    <w:p>
      <w:pPr>
        <w:pStyle w:val="14"/>
        <w:jc w:val="center"/>
        <w:rPr>
          <w:color w:val="auto"/>
          <w:sz w:val="44"/>
          <w:szCs w:val="44"/>
        </w:rPr>
      </w:pPr>
      <w:r>
        <w:rPr>
          <w:color w:val="auto"/>
          <w:sz w:val="44"/>
          <w:szCs w:val="44"/>
        </w:rPr>
        <w:t>2020</w:t>
      </w:r>
      <w:r>
        <w:rPr>
          <w:rFonts w:hint="eastAsia"/>
          <w:color w:val="auto"/>
          <w:sz w:val="44"/>
          <w:szCs w:val="44"/>
        </w:rPr>
        <w:t>年度部门决算情况说明</w:t>
      </w:r>
    </w:p>
    <w:p>
      <w:pPr>
        <w:widowControl/>
        <w:jc w:val="left"/>
        <w:rPr>
          <w:rFonts w:ascii="黑体" w:eastAsia="黑体" w:cs="黑体"/>
          <w:color w:val="auto"/>
          <w:kern w:val="0"/>
          <w:sz w:val="32"/>
          <w:szCs w:val="32"/>
        </w:rPr>
      </w:pPr>
      <w:r>
        <w:rPr>
          <w:color w:val="auto"/>
          <w:sz w:val="32"/>
          <w:szCs w:val="32"/>
        </w:rPr>
        <w:br w:type="page"/>
      </w:r>
    </w:p>
    <w:p>
      <w:pPr>
        <w:pStyle w:val="14"/>
        <w:ind w:firstLine="554" w:firstLineChars="200"/>
        <w:rPr>
          <w:rFonts w:hAnsi="黑体"/>
          <w:b/>
          <w:color w:val="auto"/>
          <w:sz w:val="28"/>
          <w:szCs w:val="28"/>
        </w:rPr>
      </w:pPr>
      <w:r>
        <w:rPr>
          <w:rFonts w:hint="eastAsia" w:hAnsi="黑体"/>
          <w:b/>
          <w:color w:val="auto"/>
          <w:sz w:val="28"/>
          <w:szCs w:val="28"/>
        </w:rPr>
        <w:t>一、收入支出决算总体情况说明</w:t>
      </w:r>
    </w:p>
    <w:p>
      <w:pPr>
        <w:pStyle w:val="14"/>
        <w:ind w:firstLine="554" w:firstLineChars="200"/>
        <w:rPr>
          <w:rFonts w:ascii="宋体" w:hAnsi="宋体" w:eastAsia="宋体"/>
          <w:color w:val="auto"/>
          <w:sz w:val="28"/>
          <w:szCs w:val="28"/>
        </w:rPr>
      </w:pPr>
      <w:r>
        <w:rPr>
          <w:rFonts w:ascii="宋体" w:hAnsi="宋体" w:eastAsia="宋体"/>
          <w:color w:val="auto"/>
          <w:sz w:val="28"/>
          <w:szCs w:val="28"/>
        </w:rPr>
        <w:t>2020</w:t>
      </w:r>
      <w:r>
        <w:rPr>
          <w:rFonts w:hint="eastAsia" w:ascii="宋体" w:hAnsi="宋体" w:eastAsia="宋体"/>
          <w:color w:val="auto"/>
          <w:sz w:val="28"/>
          <w:szCs w:val="28"/>
        </w:rPr>
        <w:t>年度收、支总计</w:t>
      </w:r>
      <w:r>
        <w:rPr>
          <w:rFonts w:ascii="宋体" w:hAnsi="宋体" w:eastAsia="宋体"/>
          <w:color w:val="auto"/>
          <w:sz w:val="28"/>
          <w:szCs w:val="28"/>
        </w:rPr>
        <w:t>272.90</w:t>
      </w:r>
      <w:r>
        <w:rPr>
          <w:rFonts w:hint="eastAsia" w:ascii="宋体" w:hAnsi="宋体" w:eastAsia="宋体"/>
          <w:color w:val="auto"/>
          <w:sz w:val="28"/>
          <w:szCs w:val="28"/>
        </w:rPr>
        <w:t>万元。因为</w:t>
      </w:r>
      <w:r>
        <w:rPr>
          <w:rFonts w:hint="eastAsia" w:ascii="宋体" w:hAnsi="宋体" w:eastAsia="宋体"/>
          <w:color w:val="auto"/>
          <w:sz w:val="28"/>
          <w:szCs w:val="28"/>
          <w:lang w:val="zh-CN"/>
        </w:rPr>
        <w:t>是新</w:t>
      </w:r>
      <w:r>
        <w:rPr>
          <w:rFonts w:hint="eastAsia" w:ascii="宋体" w:hAnsi="宋体" w:eastAsia="宋体"/>
          <w:color w:val="auto"/>
          <w:sz w:val="28"/>
          <w:szCs w:val="28"/>
        </w:rPr>
        <w:t>成立的</w:t>
      </w:r>
      <w:r>
        <w:rPr>
          <w:rFonts w:hint="eastAsia" w:ascii="宋体" w:hAnsi="宋体" w:eastAsia="宋体"/>
          <w:color w:val="auto"/>
          <w:sz w:val="28"/>
          <w:szCs w:val="28"/>
          <w:lang w:val="zh-CN"/>
        </w:rPr>
        <w:t>单位，</w:t>
      </w:r>
      <w:r>
        <w:rPr>
          <w:rFonts w:hint="eastAsia" w:ascii="宋体" w:hAnsi="宋体" w:eastAsia="宋体"/>
          <w:color w:val="auto"/>
          <w:sz w:val="28"/>
          <w:szCs w:val="28"/>
        </w:rPr>
        <w:t>无上年对比数。</w:t>
      </w:r>
    </w:p>
    <w:p>
      <w:pPr>
        <w:pStyle w:val="14"/>
        <w:ind w:firstLine="554" w:firstLineChars="200"/>
        <w:rPr>
          <w:rFonts w:hAnsi="黑体"/>
          <w:b/>
          <w:color w:val="auto"/>
          <w:sz w:val="28"/>
          <w:szCs w:val="28"/>
        </w:rPr>
      </w:pPr>
      <w:r>
        <w:rPr>
          <w:rFonts w:hint="eastAsia" w:hAnsi="黑体"/>
          <w:b/>
          <w:color w:val="auto"/>
          <w:sz w:val="28"/>
          <w:szCs w:val="28"/>
        </w:rPr>
        <w:t>二、收入决算情况说明</w:t>
      </w:r>
    </w:p>
    <w:p>
      <w:pPr>
        <w:pStyle w:val="14"/>
        <w:ind w:firstLine="554" w:firstLineChars="200"/>
        <w:rPr>
          <w:rFonts w:ascii="宋体" w:hAnsi="宋体" w:eastAsia="宋体"/>
          <w:color w:val="auto"/>
          <w:sz w:val="28"/>
          <w:szCs w:val="28"/>
        </w:rPr>
      </w:pPr>
      <w:r>
        <w:rPr>
          <w:rFonts w:hint="eastAsia" w:ascii="宋体" w:hAnsi="宋体" w:eastAsia="宋体"/>
          <w:color w:val="auto"/>
          <w:sz w:val="28"/>
          <w:szCs w:val="28"/>
        </w:rPr>
        <w:t>本年收入合计</w:t>
      </w:r>
      <w:r>
        <w:rPr>
          <w:rFonts w:ascii="宋体" w:hAnsi="宋体" w:eastAsia="宋体"/>
          <w:color w:val="auto"/>
          <w:sz w:val="28"/>
          <w:szCs w:val="28"/>
        </w:rPr>
        <w:t>272.90</w:t>
      </w:r>
      <w:r>
        <w:rPr>
          <w:rFonts w:hint="eastAsia" w:ascii="宋体" w:hAnsi="宋体" w:eastAsia="宋体"/>
          <w:color w:val="auto"/>
          <w:sz w:val="28"/>
          <w:szCs w:val="28"/>
        </w:rPr>
        <w:t>万元，其中：财政拨款收入</w:t>
      </w:r>
      <w:r>
        <w:rPr>
          <w:rFonts w:ascii="宋体" w:hAnsi="宋体" w:eastAsia="宋体"/>
          <w:color w:val="auto"/>
          <w:sz w:val="28"/>
          <w:szCs w:val="28"/>
        </w:rPr>
        <w:t>265.70</w:t>
      </w:r>
      <w:r>
        <w:rPr>
          <w:rFonts w:hint="eastAsia" w:ascii="宋体" w:hAnsi="宋体" w:eastAsia="宋体"/>
          <w:color w:val="auto"/>
          <w:sz w:val="28"/>
          <w:szCs w:val="28"/>
        </w:rPr>
        <w:t>万元，占</w:t>
      </w:r>
      <w:r>
        <w:rPr>
          <w:rFonts w:ascii="宋体" w:hAnsi="宋体" w:eastAsia="宋体"/>
          <w:color w:val="auto"/>
          <w:sz w:val="28"/>
          <w:szCs w:val="28"/>
        </w:rPr>
        <w:t>97%</w:t>
      </w:r>
      <w:r>
        <w:rPr>
          <w:rFonts w:hint="eastAsia" w:ascii="宋体" w:hAnsi="宋体" w:eastAsia="宋体"/>
          <w:color w:val="auto"/>
          <w:sz w:val="28"/>
          <w:szCs w:val="28"/>
        </w:rPr>
        <w:t>；上级补助收入</w:t>
      </w:r>
      <w:r>
        <w:rPr>
          <w:rFonts w:ascii="宋体" w:hAnsi="宋体" w:eastAsia="宋体"/>
          <w:color w:val="auto"/>
          <w:sz w:val="28"/>
          <w:szCs w:val="28"/>
        </w:rPr>
        <w:t>0.00</w:t>
      </w:r>
      <w:r>
        <w:rPr>
          <w:rFonts w:hint="eastAsia" w:ascii="宋体" w:hAnsi="宋体" w:eastAsia="宋体"/>
          <w:color w:val="auto"/>
          <w:sz w:val="28"/>
          <w:szCs w:val="28"/>
        </w:rPr>
        <w:t>万元；事业收入</w:t>
      </w:r>
      <w:r>
        <w:rPr>
          <w:rFonts w:ascii="宋体" w:hAnsi="宋体" w:eastAsia="宋体"/>
          <w:color w:val="auto"/>
          <w:sz w:val="28"/>
          <w:szCs w:val="28"/>
        </w:rPr>
        <w:t>0.00</w:t>
      </w:r>
      <w:r>
        <w:rPr>
          <w:rFonts w:hint="eastAsia" w:ascii="宋体" w:hAnsi="宋体" w:eastAsia="宋体"/>
          <w:color w:val="auto"/>
          <w:sz w:val="28"/>
          <w:szCs w:val="28"/>
        </w:rPr>
        <w:t>；经营收入</w:t>
      </w:r>
      <w:r>
        <w:rPr>
          <w:rFonts w:ascii="宋体" w:hAnsi="宋体" w:eastAsia="宋体"/>
          <w:color w:val="auto"/>
          <w:sz w:val="28"/>
          <w:szCs w:val="28"/>
        </w:rPr>
        <w:t>0.00</w:t>
      </w:r>
      <w:r>
        <w:rPr>
          <w:rFonts w:hint="eastAsia" w:ascii="宋体" w:hAnsi="宋体" w:eastAsia="宋体"/>
          <w:color w:val="auto"/>
          <w:sz w:val="28"/>
          <w:szCs w:val="28"/>
        </w:rPr>
        <w:t>万元；附属单位上缴收入</w:t>
      </w:r>
      <w:r>
        <w:rPr>
          <w:rFonts w:ascii="宋体" w:hAnsi="宋体" w:eastAsia="宋体"/>
          <w:color w:val="auto"/>
          <w:sz w:val="28"/>
          <w:szCs w:val="28"/>
        </w:rPr>
        <w:t>0.00</w:t>
      </w:r>
      <w:r>
        <w:rPr>
          <w:rFonts w:hint="eastAsia" w:ascii="宋体" w:hAnsi="宋体" w:eastAsia="宋体"/>
          <w:color w:val="auto"/>
          <w:sz w:val="28"/>
          <w:szCs w:val="28"/>
        </w:rPr>
        <w:t>万元；其他收入</w:t>
      </w:r>
      <w:r>
        <w:rPr>
          <w:rFonts w:ascii="宋体" w:hAnsi="宋体" w:eastAsia="宋体"/>
          <w:color w:val="auto"/>
          <w:sz w:val="28"/>
          <w:szCs w:val="28"/>
        </w:rPr>
        <w:t>7.20</w:t>
      </w:r>
      <w:r>
        <w:rPr>
          <w:rFonts w:hint="eastAsia" w:ascii="宋体" w:hAnsi="宋体" w:eastAsia="宋体"/>
          <w:color w:val="auto"/>
          <w:sz w:val="28"/>
          <w:szCs w:val="28"/>
        </w:rPr>
        <w:t>万元，占</w:t>
      </w:r>
      <w:r>
        <w:rPr>
          <w:rFonts w:ascii="宋体" w:hAnsi="宋体" w:eastAsia="宋体"/>
          <w:color w:val="auto"/>
          <w:sz w:val="28"/>
          <w:szCs w:val="28"/>
        </w:rPr>
        <w:t>3%</w:t>
      </w:r>
      <w:r>
        <w:rPr>
          <w:rFonts w:hint="eastAsia" w:ascii="宋体" w:hAnsi="宋体" w:eastAsia="宋体"/>
          <w:color w:val="auto"/>
          <w:sz w:val="28"/>
          <w:szCs w:val="28"/>
        </w:rPr>
        <w:t>。</w:t>
      </w:r>
    </w:p>
    <w:p>
      <w:pPr>
        <w:pStyle w:val="14"/>
        <w:ind w:firstLine="554" w:firstLineChars="200"/>
        <w:rPr>
          <w:rFonts w:hAnsi="黑体"/>
          <w:b/>
          <w:color w:val="auto"/>
          <w:sz w:val="28"/>
          <w:szCs w:val="28"/>
        </w:rPr>
      </w:pPr>
      <w:r>
        <w:rPr>
          <w:rFonts w:hint="eastAsia" w:hAnsi="黑体"/>
          <w:b/>
          <w:color w:val="auto"/>
          <w:sz w:val="28"/>
          <w:szCs w:val="28"/>
        </w:rPr>
        <w:t>三、支出决算情况说明</w:t>
      </w:r>
    </w:p>
    <w:p>
      <w:pPr>
        <w:pStyle w:val="14"/>
        <w:ind w:firstLine="554" w:firstLineChars="200"/>
        <w:rPr>
          <w:rFonts w:ascii="宋体" w:hAnsi="宋体" w:eastAsia="宋体"/>
          <w:color w:val="auto"/>
          <w:sz w:val="28"/>
          <w:szCs w:val="28"/>
        </w:rPr>
      </w:pPr>
      <w:r>
        <w:rPr>
          <w:rFonts w:hint="eastAsia" w:ascii="宋体" w:hAnsi="宋体" w:eastAsia="宋体"/>
          <w:color w:val="auto"/>
          <w:sz w:val="28"/>
          <w:szCs w:val="28"/>
        </w:rPr>
        <w:t>本年支出合计</w:t>
      </w:r>
      <w:r>
        <w:rPr>
          <w:rFonts w:ascii="宋体" w:hAnsi="宋体" w:eastAsia="宋体"/>
          <w:color w:val="auto"/>
          <w:sz w:val="28"/>
          <w:szCs w:val="28"/>
        </w:rPr>
        <w:t>216.57</w:t>
      </w:r>
      <w:r>
        <w:rPr>
          <w:rFonts w:hint="eastAsia" w:ascii="宋体" w:hAnsi="宋体" w:eastAsia="宋体"/>
          <w:color w:val="auto"/>
          <w:sz w:val="28"/>
          <w:szCs w:val="28"/>
        </w:rPr>
        <w:t>万元，其中：基本支出</w:t>
      </w:r>
      <w:r>
        <w:rPr>
          <w:rFonts w:ascii="宋体" w:hAnsi="宋体" w:eastAsia="宋体"/>
          <w:color w:val="auto"/>
          <w:sz w:val="28"/>
          <w:szCs w:val="28"/>
        </w:rPr>
        <w:t>127.02</w:t>
      </w:r>
      <w:r>
        <w:rPr>
          <w:rFonts w:hint="eastAsia" w:ascii="宋体" w:hAnsi="宋体" w:eastAsia="宋体"/>
          <w:color w:val="auto"/>
          <w:sz w:val="28"/>
          <w:szCs w:val="28"/>
        </w:rPr>
        <w:t>万元，占</w:t>
      </w:r>
      <w:r>
        <w:rPr>
          <w:rFonts w:ascii="宋体" w:hAnsi="宋体" w:eastAsia="宋体"/>
          <w:color w:val="auto"/>
          <w:sz w:val="28"/>
          <w:szCs w:val="28"/>
        </w:rPr>
        <w:t>59%</w:t>
      </w:r>
      <w:r>
        <w:rPr>
          <w:rFonts w:hint="eastAsia" w:ascii="宋体" w:hAnsi="宋体" w:eastAsia="宋体"/>
          <w:color w:val="auto"/>
          <w:sz w:val="28"/>
          <w:szCs w:val="28"/>
        </w:rPr>
        <w:t>；项目支出</w:t>
      </w:r>
      <w:r>
        <w:rPr>
          <w:rFonts w:ascii="宋体" w:hAnsi="宋体" w:eastAsia="宋体"/>
          <w:color w:val="auto"/>
          <w:sz w:val="28"/>
          <w:szCs w:val="28"/>
        </w:rPr>
        <w:t>89.55</w:t>
      </w:r>
      <w:r>
        <w:rPr>
          <w:rFonts w:hint="eastAsia" w:ascii="宋体" w:hAnsi="宋体" w:eastAsia="宋体"/>
          <w:color w:val="auto"/>
          <w:sz w:val="28"/>
          <w:szCs w:val="28"/>
        </w:rPr>
        <w:t>万元，占</w:t>
      </w:r>
      <w:r>
        <w:rPr>
          <w:rFonts w:ascii="宋体" w:hAnsi="宋体" w:eastAsia="宋体"/>
          <w:color w:val="auto"/>
          <w:sz w:val="28"/>
          <w:szCs w:val="28"/>
        </w:rPr>
        <w:t>41%</w:t>
      </w:r>
      <w:r>
        <w:rPr>
          <w:rFonts w:hint="eastAsia" w:ascii="宋体" w:hAnsi="宋体" w:eastAsia="宋体"/>
          <w:color w:val="auto"/>
          <w:sz w:val="28"/>
          <w:szCs w:val="28"/>
        </w:rPr>
        <w:t>。</w:t>
      </w:r>
    </w:p>
    <w:p>
      <w:pPr>
        <w:pStyle w:val="14"/>
        <w:ind w:firstLine="554" w:firstLineChars="200"/>
        <w:rPr>
          <w:rFonts w:hAnsi="黑体"/>
          <w:b/>
          <w:color w:val="auto"/>
          <w:sz w:val="28"/>
          <w:szCs w:val="28"/>
        </w:rPr>
      </w:pPr>
      <w:r>
        <w:rPr>
          <w:rFonts w:hint="eastAsia" w:hAnsi="黑体"/>
          <w:b/>
          <w:color w:val="auto"/>
          <w:sz w:val="28"/>
          <w:szCs w:val="28"/>
        </w:rPr>
        <w:t>四、财政拨款收入支出决算总体情况说明</w:t>
      </w:r>
    </w:p>
    <w:p>
      <w:pPr>
        <w:pStyle w:val="14"/>
        <w:ind w:firstLine="554" w:firstLineChars="200"/>
        <w:rPr>
          <w:rFonts w:ascii="宋体" w:hAnsi="宋体" w:eastAsia="宋体"/>
          <w:color w:val="auto"/>
          <w:sz w:val="28"/>
          <w:szCs w:val="28"/>
        </w:rPr>
      </w:pPr>
      <w:r>
        <w:rPr>
          <w:rFonts w:ascii="宋体" w:hAnsi="宋体" w:eastAsia="宋体"/>
          <w:color w:val="auto"/>
          <w:sz w:val="28"/>
          <w:szCs w:val="28"/>
        </w:rPr>
        <w:t>2020</w:t>
      </w:r>
      <w:r>
        <w:rPr>
          <w:rFonts w:hint="eastAsia" w:ascii="宋体" w:hAnsi="宋体" w:eastAsia="宋体"/>
          <w:color w:val="auto"/>
          <w:sz w:val="28"/>
          <w:szCs w:val="28"/>
        </w:rPr>
        <w:t>年度财政拨款收、支总计</w:t>
      </w:r>
      <w:r>
        <w:rPr>
          <w:rFonts w:ascii="宋体" w:hAnsi="宋体" w:eastAsia="宋体"/>
          <w:color w:val="auto"/>
          <w:sz w:val="28"/>
          <w:szCs w:val="28"/>
        </w:rPr>
        <w:t>265.70</w:t>
      </w:r>
      <w:r>
        <w:rPr>
          <w:rFonts w:hint="eastAsia" w:ascii="宋体" w:hAnsi="宋体" w:eastAsia="宋体"/>
          <w:color w:val="auto"/>
          <w:sz w:val="28"/>
          <w:szCs w:val="28"/>
        </w:rPr>
        <w:t>万元，因为</w:t>
      </w:r>
      <w:r>
        <w:rPr>
          <w:rFonts w:hint="eastAsia" w:ascii="宋体" w:hAnsi="宋体" w:eastAsia="宋体"/>
          <w:color w:val="auto"/>
          <w:sz w:val="28"/>
          <w:szCs w:val="28"/>
          <w:lang w:val="zh-CN"/>
        </w:rPr>
        <w:t>是新</w:t>
      </w:r>
      <w:r>
        <w:rPr>
          <w:rFonts w:hint="eastAsia" w:ascii="宋体" w:hAnsi="宋体" w:eastAsia="宋体"/>
          <w:color w:val="auto"/>
          <w:sz w:val="28"/>
          <w:szCs w:val="28"/>
        </w:rPr>
        <w:t>成立的</w:t>
      </w:r>
      <w:r>
        <w:rPr>
          <w:rFonts w:hint="eastAsia" w:ascii="宋体" w:hAnsi="宋体" w:eastAsia="宋体"/>
          <w:color w:val="auto"/>
          <w:sz w:val="28"/>
          <w:szCs w:val="28"/>
          <w:lang w:val="zh-CN"/>
        </w:rPr>
        <w:t>单位，</w:t>
      </w:r>
      <w:r>
        <w:rPr>
          <w:rFonts w:hint="eastAsia" w:ascii="宋体" w:hAnsi="宋体" w:eastAsia="宋体"/>
          <w:color w:val="auto"/>
          <w:sz w:val="28"/>
          <w:szCs w:val="28"/>
        </w:rPr>
        <w:t>无上年对比数。</w:t>
      </w:r>
    </w:p>
    <w:p>
      <w:pPr>
        <w:pStyle w:val="14"/>
        <w:ind w:firstLine="554" w:firstLineChars="200"/>
        <w:rPr>
          <w:rFonts w:hAnsi="黑体"/>
          <w:b/>
          <w:color w:val="auto"/>
          <w:sz w:val="28"/>
          <w:szCs w:val="28"/>
        </w:rPr>
      </w:pPr>
      <w:r>
        <w:rPr>
          <w:rFonts w:hint="eastAsia" w:hAnsi="黑体"/>
          <w:b/>
          <w:color w:val="auto"/>
          <w:sz w:val="28"/>
          <w:szCs w:val="28"/>
        </w:rPr>
        <w:t>五、一般公共预算财政拨款支出决算情况说明</w:t>
      </w:r>
    </w:p>
    <w:p>
      <w:pPr>
        <w:pStyle w:val="14"/>
        <w:ind w:firstLine="554" w:firstLineChars="200"/>
        <w:rPr>
          <w:rFonts w:ascii="宋体" w:hAnsi="宋体" w:eastAsia="宋体"/>
          <w:b/>
          <w:color w:val="auto"/>
          <w:sz w:val="28"/>
          <w:szCs w:val="28"/>
        </w:rPr>
      </w:pPr>
      <w:r>
        <w:rPr>
          <w:rFonts w:hint="eastAsia" w:ascii="宋体" w:hAnsi="宋体" w:eastAsia="宋体"/>
          <w:b/>
          <w:color w:val="auto"/>
          <w:sz w:val="28"/>
          <w:szCs w:val="28"/>
        </w:rPr>
        <w:t>（一）财政拨款支出决算总体情况</w:t>
      </w:r>
    </w:p>
    <w:p>
      <w:pPr>
        <w:pStyle w:val="14"/>
        <w:ind w:firstLine="554" w:firstLineChars="200"/>
        <w:rPr>
          <w:rFonts w:ascii="宋体" w:hAnsi="宋体" w:eastAsia="宋体"/>
          <w:color w:val="auto"/>
          <w:sz w:val="28"/>
          <w:szCs w:val="28"/>
        </w:rPr>
      </w:pPr>
      <w:r>
        <w:rPr>
          <w:rFonts w:ascii="宋体" w:hAnsi="宋体" w:eastAsia="宋体"/>
          <w:color w:val="auto"/>
          <w:sz w:val="28"/>
          <w:szCs w:val="28"/>
        </w:rPr>
        <w:t>2020</w:t>
      </w:r>
      <w:r>
        <w:rPr>
          <w:rFonts w:hint="eastAsia" w:ascii="宋体" w:hAnsi="宋体" w:eastAsia="宋体"/>
          <w:color w:val="auto"/>
          <w:sz w:val="28"/>
          <w:szCs w:val="28"/>
        </w:rPr>
        <w:t>年度财政拨款支出</w:t>
      </w:r>
      <w:r>
        <w:rPr>
          <w:rFonts w:ascii="宋体" w:hAnsi="宋体" w:eastAsia="宋体"/>
          <w:color w:val="auto"/>
          <w:sz w:val="28"/>
          <w:szCs w:val="28"/>
        </w:rPr>
        <w:t>209.80</w:t>
      </w:r>
      <w:r>
        <w:rPr>
          <w:rFonts w:hint="eastAsia" w:ascii="宋体" w:hAnsi="宋体" w:eastAsia="宋体"/>
          <w:color w:val="auto"/>
          <w:sz w:val="28"/>
          <w:szCs w:val="28"/>
        </w:rPr>
        <w:t>万元，占本年支出合计的</w:t>
      </w:r>
      <w:r>
        <w:rPr>
          <w:rFonts w:ascii="宋体" w:hAnsi="宋体" w:eastAsia="宋体"/>
          <w:color w:val="auto"/>
          <w:sz w:val="28"/>
          <w:szCs w:val="28"/>
        </w:rPr>
        <w:t>97%</w:t>
      </w:r>
      <w:r>
        <w:rPr>
          <w:rFonts w:hint="eastAsia" w:ascii="宋体" w:hAnsi="宋体" w:eastAsia="宋体"/>
          <w:color w:val="auto"/>
          <w:sz w:val="28"/>
          <w:szCs w:val="28"/>
        </w:rPr>
        <w:t>，因为</w:t>
      </w:r>
      <w:r>
        <w:rPr>
          <w:rFonts w:hint="eastAsia" w:ascii="宋体" w:hAnsi="宋体" w:eastAsia="宋体"/>
          <w:color w:val="auto"/>
          <w:sz w:val="28"/>
          <w:szCs w:val="28"/>
          <w:lang w:val="zh-CN"/>
        </w:rPr>
        <w:t>是新</w:t>
      </w:r>
      <w:r>
        <w:rPr>
          <w:rFonts w:hint="eastAsia" w:ascii="宋体" w:hAnsi="宋体" w:eastAsia="宋体"/>
          <w:color w:val="auto"/>
          <w:sz w:val="28"/>
          <w:szCs w:val="28"/>
        </w:rPr>
        <w:t>成立的</w:t>
      </w:r>
      <w:r>
        <w:rPr>
          <w:rFonts w:hint="eastAsia" w:ascii="宋体" w:hAnsi="宋体" w:eastAsia="宋体"/>
          <w:color w:val="auto"/>
          <w:sz w:val="28"/>
          <w:szCs w:val="28"/>
          <w:lang w:val="zh-CN"/>
        </w:rPr>
        <w:t>单位，</w:t>
      </w:r>
      <w:r>
        <w:rPr>
          <w:rFonts w:hint="eastAsia" w:ascii="宋体" w:hAnsi="宋体" w:eastAsia="宋体"/>
          <w:color w:val="auto"/>
          <w:sz w:val="28"/>
          <w:szCs w:val="28"/>
        </w:rPr>
        <w:t>无上年对比数。</w:t>
      </w:r>
    </w:p>
    <w:p>
      <w:pPr>
        <w:pStyle w:val="14"/>
        <w:ind w:firstLine="554" w:firstLineChars="200"/>
        <w:rPr>
          <w:rFonts w:ascii="宋体" w:hAnsi="宋体" w:eastAsia="宋体"/>
          <w:b/>
          <w:color w:val="auto"/>
          <w:sz w:val="28"/>
          <w:szCs w:val="28"/>
        </w:rPr>
      </w:pPr>
      <w:r>
        <w:rPr>
          <w:rFonts w:hint="eastAsia" w:ascii="宋体" w:hAnsi="宋体" w:eastAsia="宋体"/>
          <w:b/>
          <w:color w:val="auto"/>
          <w:sz w:val="28"/>
          <w:szCs w:val="28"/>
        </w:rPr>
        <w:t>（二）财政拨款支出决算结构情况</w:t>
      </w:r>
    </w:p>
    <w:p>
      <w:pPr>
        <w:pStyle w:val="14"/>
        <w:ind w:firstLine="554" w:firstLineChars="200"/>
        <w:rPr>
          <w:rFonts w:ascii="宋体" w:hAnsi="宋体" w:eastAsia="宋体"/>
          <w:color w:val="auto"/>
          <w:sz w:val="28"/>
          <w:szCs w:val="28"/>
        </w:rPr>
      </w:pPr>
      <w:r>
        <w:rPr>
          <w:rFonts w:ascii="宋体" w:hAnsi="宋体" w:eastAsia="宋体"/>
          <w:color w:val="auto"/>
          <w:sz w:val="28"/>
          <w:szCs w:val="28"/>
        </w:rPr>
        <w:t>2020</w:t>
      </w:r>
      <w:r>
        <w:rPr>
          <w:rFonts w:hint="eastAsia" w:ascii="宋体" w:hAnsi="宋体" w:eastAsia="宋体"/>
          <w:color w:val="auto"/>
          <w:sz w:val="28"/>
          <w:szCs w:val="28"/>
        </w:rPr>
        <w:t>年度财政拨款支出</w:t>
      </w:r>
      <w:r>
        <w:rPr>
          <w:rFonts w:ascii="宋体" w:hAnsi="宋体" w:eastAsia="宋体"/>
          <w:color w:val="auto"/>
          <w:sz w:val="28"/>
          <w:szCs w:val="28"/>
        </w:rPr>
        <w:t>209.80</w:t>
      </w:r>
      <w:r>
        <w:rPr>
          <w:rFonts w:hint="eastAsia" w:ascii="宋体" w:hAnsi="宋体" w:eastAsia="宋体"/>
          <w:color w:val="auto"/>
          <w:sz w:val="28"/>
          <w:szCs w:val="28"/>
        </w:rPr>
        <w:t>万元，主要用于以下方面：一般公共服务（类）支出</w:t>
      </w:r>
      <w:r>
        <w:rPr>
          <w:rFonts w:ascii="宋体" w:hAnsi="宋体" w:eastAsia="宋体"/>
          <w:color w:val="auto"/>
          <w:sz w:val="28"/>
          <w:szCs w:val="28"/>
        </w:rPr>
        <w:t>192.95</w:t>
      </w:r>
      <w:r>
        <w:rPr>
          <w:rFonts w:hint="eastAsia" w:ascii="宋体" w:hAnsi="宋体" w:eastAsia="宋体"/>
          <w:color w:val="auto"/>
          <w:sz w:val="28"/>
          <w:szCs w:val="28"/>
        </w:rPr>
        <w:t>万元，占</w:t>
      </w:r>
      <w:r>
        <w:rPr>
          <w:rFonts w:ascii="宋体" w:hAnsi="宋体" w:eastAsia="宋体"/>
          <w:color w:val="auto"/>
          <w:sz w:val="28"/>
          <w:szCs w:val="28"/>
        </w:rPr>
        <w:t>92%</w:t>
      </w:r>
      <w:r>
        <w:rPr>
          <w:rFonts w:hint="eastAsia" w:ascii="宋体" w:hAnsi="宋体" w:eastAsia="宋体"/>
          <w:color w:val="auto"/>
          <w:sz w:val="28"/>
          <w:szCs w:val="28"/>
        </w:rPr>
        <w:t>；社会保障和就业（类）支出</w:t>
      </w:r>
      <w:r>
        <w:rPr>
          <w:rFonts w:ascii="宋体" w:hAnsi="宋体" w:eastAsia="宋体"/>
          <w:color w:val="auto"/>
          <w:sz w:val="28"/>
          <w:szCs w:val="28"/>
        </w:rPr>
        <w:t>11.52</w:t>
      </w:r>
      <w:r>
        <w:rPr>
          <w:rFonts w:hint="eastAsia" w:ascii="宋体" w:hAnsi="宋体" w:eastAsia="宋体"/>
          <w:color w:val="auto"/>
          <w:sz w:val="28"/>
          <w:szCs w:val="28"/>
        </w:rPr>
        <w:t>万元，占</w:t>
      </w:r>
      <w:r>
        <w:rPr>
          <w:rFonts w:ascii="宋体" w:hAnsi="宋体" w:eastAsia="宋体"/>
          <w:color w:val="auto"/>
          <w:sz w:val="28"/>
          <w:szCs w:val="28"/>
        </w:rPr>
        <w:t>5%;</w:t>
      </w:r>
      <w:r>
        <w:rPr>
          <w:rFonts w:hint="eastAsia" w:ascii="宋体" w:hAnsi="宋体" w:eastAsia="宋体"/>
          <w:color w:val="auto"/>
          <w:sz w:val="28"/>
          <w:szCs w:val="28"/>
        </w:rPr>
        <w:t>卫生健康（类）支出</w:t>
      </w:r>
      <w:r>
        <w:rPr>
          <w:rFonts w:ascii="宋体" w:hAnsi="宋体" w:eastAsia="宋体"/>
          <w:color w:val="auto"/>
          <w:sz w:val="28"/>
          <w:szCs w:val="28"/>
        </w:rPr>
        <w:t>5.33</w:t>
      </w:r>
      <w:r>
        <w:rPr>
          <w:rFonts w:hint="eastAsia" w:ascii="宋体" w:hAnsi="宋体" w:eastAsia="宋体"/>
          <w:color w:val="auto"/>
          <w:sz w:val="28"/>
          <w:szCs w:val="28"/>
        </w:rPr>
        <w:t>万元，占</w:t>
      </w:r>
      <w:r>
        <w:rPr>
          <w:rFonts w:ascii="宋体" w:hAnsi="宋体" w:eastAsia="宋体"/>
          <w:color w:val="auto"/>
          <w:sz w:val="28"/>
          <w:szCs w:val="28"/>
        </w:rPr>
        <w:t>3%;</w:t>
      </w:r>
    </w:p>
    <w:p>
      <w:pPr>
        <w:pStyle w:val="14"/>
        <w:ind w:firstLine="554" w:firstLineChars="200"/>
        <w:rPr>
          <w:rFonts w:ascii="宋体" w:hAnsi="宋体" w:eastAsia="宋体"/>
          <w:b/>
          <w:color w:val="auto"/>
          <w:sz w:val="28"/>
          <w:szCs w:val="28"/>
        </w:rPr>
      </w:pPr>
      <w:r>
        <w:rPr>
          <w:rFonts w:hint="eastAsia" w:ascii="宋体" w:hAnsi="宋体" w:eastAsia="宋体"/>
          <w:b/>
          <w:color w:val="auto"/>
          <w:sz w:val="28"/>
          <w:szCs w:val="28"/>
        </w:rPr>
        <w:t>（三）财政拨款支出决算具体情况</w:t>
      </w:r>
    </w:p>
    <w:p>
      <w:pPr>
        <w:pStyle w:val="14"/>
        <w:ind w:firstLine="693" w:firstLineChars="250"/>
        <w:rPr>
          <w:rFonts w:ascii="宋体" w:hAnsi="宋体" w:eastAsia="宋体"/>
          <w:color w:val="auto"/>
          <w:sz w:val="28"/>
          <w:szCs w:val="28"/>
        </w:rPr>
      </w:pPr>
      <w:r>
        <w:rPr>
          <w:rFonts w:ascii="宋体" w:hAnsi="宋体" w:eastAsia="宋体"/>
          <w:color w:val="auto"/>
          <w:sz w:val="28"/>
          <w:szCs w:val="28"/>
        </w:rPr>
        <w:t>2020</w:t>
      </w:r>
      <w:r>
        <w:rPr>
          <w:rFonts w:hint="eastAsia" w:ascii="宋体" w:hAnsi="宋体" w:eastAsia="宋体"/>
          <w:color w:val="auto"/>
          <w:sz w:val="28"/>
          <w:szCs w:val="28"/>
        </w:rPr>
        <w:t>年度财政拨款支出年初预算数为</w:t>
      </w:r>
      <w:r>
        <w:rPr>
          <w:rFonts w:ascii="宋体" w:hAnsi="宋体" w:eastAsia="宋体"/>
          <w:color w:val="auto"/>
          <w:sz w:val="28"/>
          <w:szCs w:val="28"/>
        </w:rPr>
        <w:t>126.31</w:t>
      </w:r>
      <w:r>
        <w:rPr>
          <w:rFonts w:hint="eastAsia" w:ascii="宋体" w:hAnsi="宋体" w:eastAsia="宋体"/>
          <w:color w:val="auto"/>
          <w:sz w:val="28"/>
          <w:szCs w:val="28"/>
        </w:rPr>
        <w:t>万元，支出决算数为</w:t>
      </w:r>
      <w:r>
        <w:rPr>
          <w:rFonts w:ascii="宋体" w:hAnsi="宋体" w:eastAsia="宋体"/>
          <w:color w:val="auto"/>
          <w:sz w:val="28"/>
          <w:szCs w:val="28"/>
        </w:rPr>
        <w:t>209.80</w:t>
      </w:r>
      <w:r>
        <w:rPr>
          <w:rFonts w:hint="eastAsia" w:ascii="宋体" w:hAnsi="宋体" w:eastAsia="宋体"/>
          <w:color w:val="auto"/>
          <w:sz w:val="28"/>
          <w:szCs w:val="28"/>
        </w:rPr>
        <w:t>万元，完成年初预算的</w:t>
      </w:r>
      <w:r>
        <w:rPr>
          <w:rFonts w:ascii="宋体" w:hAnsi="宋体" w:eastAsia="宋体"/>
          <w:color w:val="auto"/>
          <w:sz w:val="28"/>
          <w:szCs w:val="28"/>
        </w:rPr>
        <w:t>166%</w:t>
      </w:r>
      <w:r>
        <w:rPr>
          <w:rFonts w:hint="eastAsia" w:ascii="宋体" w:hAnsi="宋体" w:eastAsia="宋体"/>
          <w:color w:val="auto"/>
          <w:sz w:val="28"/>
          <w:szCs w:val="28"/>
        </w:rPr>
        <w:t>，其中：</w:t>
      </w:r>
    </w:p>
    <w:p>
      <w:pPr>
        <w:pStyle w:val="14"/>
        <w:ind w:firstLine="693" w:firstLineChars="250"/>
        <w:rPr>
          <w:rFonts w:ascii="宋体" w:hAnsi="宋体" w:eastAsia="宋体"/>
          <w:color w:val="auto"/>
          <w:sz w:val="28"/>
          <w:szCs w:val="28"/>
        </w:rPr>
      </w:pPr>
      <w:r>
        <w:rPr>
          <w:rFonts w:ascii="宋体" w:hAnsi="宋体" w:eastAsia="宋体"/>
          <w:color w:val="auto"/>
          <w:sz w:val="28"/>
          <w:szCs w:val="28"/>
        </w:rPr>
        <w:t>1</w:t>
      </w:r>
      <w:r>
        <w:rPr>
          <w:rFonts w:hint="eastAsia" w:ascii="宋体" w:hAnsi="宋体" w:eastAsia="宋体"/>
          <w:color w:val="auto"/>
          <w:sz w:val="28"/>
          <w:szCs w:val="28"/>
        </w:rPr>
        <w:t>、一般公共服务（类）知识产权事务（款）国家知识产权战略（项）</w:t>
      </w:r>
    </w:p>
    <w:p>
      <w:pPr>
        <w:pStyle w:val="14"/>
        <w:ind w:firstLine="693" w:firstLineChars="250"/>
        <w:rPr>
          <w:rFonts w:ascii="宋体" w:hAnsi="宋体" w:eastAsia="宋体"/>
          <w:color w:val="auto"/>
          <w:sz w:val="28"/>
          <w:szCs w:val="28"/>
        </w:rPr>
      </w:pPr>
      <w:r>
        <w:rPr>
          <w:rFonts w:hint="eastAsia" w:ascii="宋体" w:hAnsi="宋体" w:eastAsia="宋体"/>
          <w:color w:val="auto"/>
          <w:sz w:val="28"/>
          <w:szCs w:val="28"/>
        </w:rPr>
        <w:t>年初预算为</w:t>
      </w:r>
      <w:r>
        <w:rPr>
          <w:rFonts w:ascii="宋体" w:hAnsi="宋体" w:eastAsia="宋体"/>
          <w:color w:val="auto"/>
          <w:sz w:val="28"/>
          <w:szCs w:val="28"/>
        </w:rPr>
        <w:t>0</w:t>
      </w:r>
      <w:r>
        <w:rPr>
          <w:rFonts w:hint="eastAsia" w:ascii="宋体" w:hAnsi="宋体" w:eastAsia="宋体"/>
          <w:color w:val="auto"/>
          <w:sz w:val="28"/>
          <w:szCs w:val="28"/>
        </w:rPr>
        <w:t>万元，支出决算为</w:t>
      </w:r>
      <w:r>
        <w:rPr>
          <w:rFonts w:ascii="宋体" w:hAnsi="宋体" w:eastAsia="宋体"/>
          <w:color w:val="auto"/>
          <w:sz w:val="28"/>
          <w:szCs w:val="28"/>
        </w:rPr>
        <w:t>11.63</w:t>
      </w:r>
      <w:r>
        <w:rPr>
          <w:rFonts w:hint="eastAsia" w:ascii="宋体" w:hAnsi="宋体" w:eastAsia="宋体"/>
          <w:color w:val="auto"/>
          <w:sz w:val="28"/>
          <w:szCs w:val="28"/>
        </w:rPr>
        <w:t>万元，决算数大于年初预算数的主要原因是财政追加国家知识产权战略专项经费。</w:t>
      </w:r>
    </w:p>
    <w:p>
      <w:pPr>
        <w:pStyle w:val="14"/>
        <w:ind w:firstLine="693" w:firstLineChars="250"/>
        <w:rPr>
          <w:rFonts w:ascii="宋体" w:hAnsi="宋体" w:eastAsia="宋体"/>
          <w:color w:val="auto"/>
          <w:sz w:val="28"/>
          <w:szCs w:val="28"/>
        </w:rPr>
      </w:pPr>
      <w:r>
        <w:rPr>
          <w:rFonts w:ascii="宋体" w:hAnsi="宋体" w:eastAsia="宋体"/>
          <w:color w:val="auto"/>
          <w:sz w:val="28"/>
          <w:szCs w:val="28"/>
        </w:rPr>
        <w:t>2</w:t>
      </w:r>
      <w:r>
        <w:rPr>
          <w:rFonts w:hint="eastAsia" w:ascii="宋体" w:hAnsi="宋体" w:eastAsia="宋体"/>
          <w:color w:val="auto"/>
          <w:sz w:val="28"/>
          <w:szCs w:val="28"/>
        </w:rPr>
        <w:t>、一般公共服务（类）市场监督管理事务（款）</w:t>
      </w:r>
      <w:r>
        <w:rPr>
          <w:rFonts w:ascii="宋体" w:hAnsi="宋体" w:eastAsia="宋体"/>
          <w:color w:val="auto"/>
          <w:sz w:val="28"/>
          <w:szCs w:val="28"/>
        </w:rPr>
        <w:t xml:space="preserve"> </w:t>
      </w:r>
      <w:r>
        <w:rPr>
          <w:rFonts w:hint="eastAsia" w:ascii="宋体" w:hAnsi="宋体" w:eastAsia="宋体"/>
          <w:color w:val="auto"/>
          <w:sz w:val="28"/>
          <w:szCs w:val="28"/>
        </w:rPr>
        <w:t>行政运行（项）</w:t>
      </w:r>
    </w:p>
    <w:p>
      <w:pPr>
        <w:pStyle w:val="14"/>
        <w:ind w:firstLine="693" w:firstLineChars="250"/>
        <w:rPr>
          <w:rFonts w:ascii="宋体" w:hAnsi="宋体" w:eastAsia="宋体"/>
          <w:color w:val="auto"/>
          <w:sz w:val="28"/>
          <w:szCs w:val="28"/>
        </w:rPr>
      </w:pPr>
      <w:r>
        <w:rPr>
          <w:rFonts w:hint="eastAsia" w:ascii="宋体" w:hAnsi="宋体" w:eastAsia="宋体"/>
          <w:color w:val="auto"/>
          <w:sz w:val="28"/>
          <w:szCs w:val="28"/>
        </w:rPr>
        <w:t>年初预算为</w:t>
      </w:r>
      <w:r>
        <w:rPr>
          <w:rFonts w:ascii="宋体" w:hAnsi="宋体" w:eastAsia="宋体"/>
          <w:color w:val="auto"/>
          <w:sz w:val="28"/>
          <w:szCs w:val="28"/>
        </w:rPr>
        <w:t>109.46</w:t>
      </w:r>
      <w:r>
        <w:rPr>
          <w:rFonts w:hint="eastAsia" w:ascii="宋体" w:hAnsi="宋体" w:eastAsia="宋体"/>
          <w:color w:val="auto"/>
          <w:sz w:val="28"/>
          <w:szCs w:val="28"/>
        </w:rPr>
        <w:t>万元，支出决算为</w:t>
      </w:r>
      <w:r>
        <w:rPr>
          <w:rFonts w:ascii="宋体" w:hAnsi="宋体" w:eastAsia="宋体"/>
          <w:color w:val="auto"/>
          <w:sz w:val="28"/>
          <w:szCs w:val="28"/>
        </w:rPr>
        <w:t>181.32</w:t>
      </w:r>
      <w:r>
        <w:rPr>
          <w:rFonts w:hint="eastAsia" w:ascii="宋体" w:hAnsi="宋体" w:eastAsia="宋体"/>
          <w:color w:val="auto"/>
          <w:sz w:val="28"/>
          <w:szCs w:val="28"/>
        </w:rPr>
        <w:t>万元，完成年初预算的</w:t>
      </w:r>
      <w:r>
        <w:rPr>
          <w:rFonts w:ascii="宋体" w:hAnsi="宋体" w:eastAsia="宋体"/>
          <w:color w:val="auto"/>
          <w:sz w:val="28"/>
          <w:szCs w:val="28"/>
        </w:rPr>
        <w:t>166%</w:t>
      </w:r>
      <w:r>
        <w:rPr>
          <w:rFonts w:hint="eastAsia" w:ascii="宋体" w:hAnsi="宋体" w:eastAsia="宋体"/>
          <w:color w:val="auto"/>
          <w:sz w:val="28"/>
          <w:szCs w:val="28"/>
        </w:rPr>
        <w:t>，决算数大于年初预算数的主要原因是追加了行政人员的绩效奖励、综治奖励、第</w:t>
      </w:r>
      <w:r>
        <w:rPr>
          <w:rFonts w:ascii="宋体" w:hAnsi="宋体" w:eastAsia="宋体"/>
          <w:color w:val="auto"/>
          <w:sz w:val="28"/>
          <w:szCs w:val="28"/>
        </w:rPr>
        <w:t>13</w:t>
      </w:r>
      <w:r>
        <w:rPr>
          <w:rFonts w:hint="eastAsia" w:ascii="宋体" w:hAnsi="宋体" w:eastAsia="宋体"/>
          <w:color w:val="auto"/>
          <w:sz w:val="28"/>
          <w:szCs w:val="28"/>
        </w:rPr>
        <w:t>月工资等。</w:t>
      </w:r>
    </w:p>
    <w:p>
      <w:pPr>
        <w:pStyle w:val="6"/>
        <w:shd w:val="clear" w:color="auto" w:fill="FFFFFF"/>
        <w:spacing w:before="0" w:beforeAutospacing="0" w:after="0" w:afterAutospacing="0"/>
        <w:ind w:firstLine="554" w:firstLineChars="200"/>
        <w:textAlignment w:val="center"/>
        <w:rPr>
          <w:rFonts w:ascii="宋体" w:cs="黑体"/>
          <w:color w:val="auto"/>
          <w:sz w:val="28"/>
          <w:szCs w:val="28"/>
        </w:rPr>
      </w:pPr>
      <w:r>
        <w:rPr>
          <w:rFonts w:ascii="宋体" w:cs="黑体"/>
          <w:color w:val="auto"/>
          <w:sz w:val="28"/>
          <w:szCs w:val="28"/>
        </w:rPr>
        <w:t>3</w:t>
      </w:r>
      <w:r>
        <w:rPr>
          <w:rFonts w:hint="eastAsia" w:ascii="宋体" w:cs="黑体"/>
          <w:color w:val="auto"/>
          <w:sz w:val="28"/>
          <w:szCs w:val="28"/>
        </w:rPr>
        <w:t>、社会保障和就业（类）行政事业单位养老支出（款）机关事业单位基本养老保险缴费支出（项）</w:t>
      </w:r>
    </w:p>
    <w:p>
      <w:pPr>
        <w:pStyle w:val="6"/>
        <w:shd w:val="clear" w:color="auto" w:fill="FFFFFF"/>
        <w:spacing w:before="0" w:beforeAutospacing="0" w:after="0" w:afterAutospacing="0"/>
        <w:ind w:firstLine="554" w:firstLineChars="200"/>
        <w:textAlignment w:val="center"/>
        <w:rPr>
          <w:rFonts w:ascii="宋体" w:cs="黑体"/>
          <w:color w:val="auto"/>
          <w:sz w:val="28"/>
          <w:szCs w:val="28"/>
        </w:rPr>
      </w:pPr>
      <w:r>
        <w:rPr>
          <w:rFonts w:hint="eastAsia" w:ascii="宋体" w:cs="黑体"/>
          <w:color w:val="auto"/>
          <w:sz w:val="28"/>
          <w:szCs w:val="28"/>
        </w:rPr>
        <w:t>年初预算为</w:t>
      </w:r>
      <w:r>
        <w:rPr>
          <w:rFonts w:ascii="宋体" w:cs="黑体"/>
          <w:color w:val="auto"/>
          <w:sz w:val="28"/>
          <w:szCs w:val="28"/>
        </w:rPr>
        <w:t>11.52</w:t>
      </w:r>
      <w:r>
        <w:rPr>
          <w:rFonts w:hint="eastAsia" w:ascii="宋体" w:cs="黑体"/>
          <w:color w:val="auto"/>
          <w:sz w:val="28"/>
          <w:szCs w:val="28"/>
        </w:rPr>
        <w:t>万元，支出决算为</w:t>
      </w:r>
      <w:r>
        <w:rPr>
          <w:rFonts w:ascii="宋体" w:cs="黑体"/>
          <w:color w:val="auto"/>
          <w:sz w:val="28"/>
          <w:szCs w:val="28"/>
        </w:rPr>
        <w:t>11.52</w:t>
      </w:r>
      <w:r>
        <w:rPr>
          <w:rFonts w:hint="eastAsia" w:ascii="宋体" w:cs="黑体"/>
          <w:color w:val="auto"/>
          <w:sz w:val="28"/>
          <w:szCs w:val="28"/>
        </w:rPr>
        <w:t>万元，完成年初预算的</w:t>
      </w:r>
      <w:r>
        <w:rPr>
          <w:rFonts w:ascii="宋体" w:cs="黑体"/>
          <w:color w:val="auto"/>
          <w:sz w:val="28"/>
          <w:szCs w:val="28"/>
        </w:rPr>
        <w:t>100%</w:t>
      </w:r>
      <w:r>
        <w:rPr>
          <w:rFonts w:hint="eastAsia" w:ascii="宋体" w:cs="黑体"/>
          <w:color w:val="auto"/>
          <w:sz w:val="28"/>
          <w:szCs w:val="28"/>
        </w:rPr>
        <w:t>。</w:t>
      </w:r>
    </w:p>
    <w:p>
      <w:pPr>
        <w:pStyle w:val="6"/>
        <w:shd w:val="clear" w:color="auto" w:fill="FFFFFF"/>
        <w:spacing w:before="0" w:beforeAutospacing="0" w:after="0" w:afterAutospacing="0"/>
        <w:ind w:firstLine="554" w:firstLineChars="200"/>
        <w:textAlignment w:val="center"/>
        <w:rPr>
          <w:rFonts w:ascii="宋体" w:cs="黑体"/>
          <w:color w:val="auto"/>
          <w:sz w:val="28"/>
          <w:szCs w:val="28"/>
        </w:rPr>
      </w:pPr>
      <w:r>
        <w:rPr>
          <w:rFonts w:ascii="宋体" w:cs="黑体"/>
          <w:color w:val="auto"/>
          <w:sz w:val="28"/>
          <w:szCs w:val="28"/>
        </w:rPr>
        <w:t>4</w:t>
      </w:r>
      <w:r>
        <w:rPr>
          <w:rFonts w:hint="eastAsia" w:ascii="宋体" w:cs="黑体"/>
          <w:color w:val="auto"/>
          <w:sz w:val="28"/>
          <w:szCs w:val="28"/>
        </w:rPr>
        <w:t>、卫生健康（类）行政事业单位医疗（款）行政单位医疗（项）</w:t>
      </w:r>
    </w:p>
    <w:p>
      <w:pPr>
        <w:pStyle w:val="6"/>
        <w:shd w:val="clear" w:color="auto" w:fill="FFFFFF"/>
        <w:spacing w:before="0" w:beforeAutospacing="0" w:after="0" w:afterAutospacing="0"/>
        <w:ind w:firstLine="554" w:firstLineChars="200"/>
        <w:textAlignment w:val="center"/>
        <w:rPr>
          <w:rFonts w:ascii="宋体" w:cs="黑体"/>
          <w:color w:val="auto"/>
          <w:sz w:val="28"/>
          <w:szCs w:val="28"/>
        </w:rPr>
      </w:pPr>
      <w:r>
        <w:rPr>
          <w:rFonts w:hint="eastAsia" w:ascii="宋体" w:cs="黑体"/>
          <w:color w:val="auto"/>
          <w:sz w:val="28"/>
          <w:szCs w:val="28"/>
        </w:rPr>
        <w:t>年初预算为</w:t>
      </w:r>
      <w:r>
        <w:rPr>
          <w:rFonts w:ascii="宋体" w:cs="黑体"/>
          <w:color w:val="auto"/>
          <w:sz w:val="28"/>
          <w:szCs w:val="28"/>
        </w:rPr>
        <w:t>5.33</w:t>
      </w:r>
      <w:r>
        <w:rPr>
          <w:rFonts w:hint="eastAsia" w:ascii="宋体" w:cs="黑体"/>
          <w:color w:val="auto"/>
          <w:sz w:val="28"/>
          <w:szCs w:val="28"/>
        </w:rPr>
        <w:t>万元，支出决算为</w:t>
      </w:r>
      <w:r>
        <w:rPr>
          <w:rFonts w:ascii="宋体" w:cs="黑体"/>
          <w:color w:val="auto"/>
          <w:sz w:val="28"/>
          <w:szCs w:val="28"/>
        </w:rPr>
        <w:t>5.33</w:t>
      </w:r>
      <w:r>
        <w:rPr>
          <w:rFonts w:hint="eastAsia" w:ascii="宋体" w:cs="黑体"/>
          <w:color w:val="auto"/>
          <w:sz w:val="28"/>
          <w:szCs w:val="28"/>
        </w:rPr>
        <w:t>万元，完成年初预算的</w:t>
      </w:r>
      <w:r>
        <w:rPr>
          <w:rFonts w:ascii="宋体" w:cs="黑体"/>
          <w:color w:val="auto"/>
          <w:sz w:val="28"/>
          <w:szCs w:val="28"/>
        </w:rPr>
        <w:t>100%</w:t>
      </w:r>
      <w:r>
        <w:rPr>
          <w:rFonts w:hint="eastAsia" w:ascii="宋体" w:cs="黑体"/>
          <w:color w:val="auto"/>
          <w:sz w:val="28"/>
          <w:szCs w:val="28"/>
        </w:rPr>
        <w:t>。</w:t>
      </w:r>
    </w:p>
    <w:p>
      <w:pPr>
        <w:pStyle w:val="14"/>
        <w:rPr>
          <w:rFonts w:hAnsi="黑体"/>
          <w:b/>
          <w:color w:val="auto"/>
          <w:sz w:val="28"/>
          <w:szCs w:val="28"/>
        </w:rPr>
      </w:pPr>
      <w:r>
        <w:rPr>
          <w:rFonts w:hint="eastAsia" w:hAnsi="黑体"/>
          <w:b/>
          <w:color w:val="auto"/>
          <w:sz w:val="28"/>
          <w:szCs w:val="28"/>
        </w:rPr>
        <w:t>六、一般公共预算财政拨款基本支出决算情况说明</w:t>
      </w:r>
    </w:p>
    <w:p>
      <w:pPr>
        <w:pStyle w:val="6"/>
        <w:shd w:val="clear" w:color="auto" w:fill="FFFFFF"/>
        <w:spacing w:before="0" w:beforeAutospacing="0" w:after="0" w:afterAutospacing="0"/>
        <w:ind w:firstLine="554" w:firstLineChars="200"/>
        <w:textAlignment w:val="center"/>
        <w:rPr>
          <w:rFonts w:ascii="宋体" w:cs="黑体"/>
          <w:color w:val="auto"/>
          <w:sz w:val="28"/>
          <w:szCs w:val="28"/>
        </w:rPr>
      </w:pPr>
      <w:r>
        <w:rPr>
          <w:rFonts w:ascii="宋体" w:cs="黑体"/>
          <w:color w:val="auto"/>
          <w:sz w:val="28"/>
          <w:szCs w:val="28"/>
        </w:rPr>
        <w:t>2020</w:t>
      </w:r>
      <w:r>
        <w:rPr>
          <w:rFonts w:hint="eastAsia" w:ascii="宋体" w:cs="黑体"/>
          <w:color w:val="auto"/>
          <w:sz w:val="28"/>
          <w:szCs w:val="28"/>
        </w:rPr>
        <w:t>年度财政拨款基本支出</w:t>
      </w:r>
      <w:r>
        <w:rPr>
          <w:rFonts w:ascii="宋体" w:cs="黑体"/>
          <w:color w:val="auto"/>
          <w:sz w:val="28"/>
          <w:szCs w:val="28"/>
        </w:rPr>
        <w:t>120.25</w:t>
      </w:r>
      <w:r>
        <w:rPr>
          <w:rFonts w:hint="eastAsia" w:ascii="宋体" w:cs="黑体"/>
          <w:color w:val="auto"/>
          <w:sz w:val="28"/>
          <w:szCs w:val="28"/>
        </w:rPr>
        <w:t>万元，其中：人员经费</w:t>
      </w:r>
      <w:r>
        <w:rPr>
          <w:rFonts w:ascii="宋体" w:cs="黑体"/>
          <w:color w:val="auto"/>
          <w:sz w:val="28"/>
          <w:szCs w:val="28"/>
        </w:rPr>
        <w:t>111.44</w:t>
      </w:r>
      <w:r>
        <w:rPr>
          <w:rFonts w:hint="eastAsia" w:ascii="宋体" w:cs="黑体"/>
          <w:color w:val="auto"/>
          <w:sz w:val="28"/>
          <w:szCs w:val="28"/>
        </w:rPr>
        <w:t>万元，占基本支出的</w:t>
      </w:r>
      <w:r>
        <w:rPr>
          <w:rFonts w:ascii="宋体" w:cs="黑体"/>
          <w:color w:val="auto"/>
          <w:sz w:val="28"/>
          <w:szCs w:val="28"/>
        </w:rPr>
        <w:t>93%,</w:t>
      </w:r>
      <w:r>
        <w:rPr>
          <w:rFonts w:hint="eastAsia" w:ascii="宋体" w:cs="黑体"/>
          <w:color w:val="auto"/>
          <w:sz w:val="28"/>
          <w:szCs w:val="28"/>
        </w:rPr>
        <w:t>主要包括基本工资、津贴补贴、奖金、</w:t>
      </w:r>
      <w:r>
        <w:rPr>
          <w:rFonts w:hint="eastAsia" w:ascii="宋体" w:cs="黑体"/>
          <w:color w:val="auto"/>
          <w:sz w:val="28"/>
          <w:szCs w:val="28"/>
          <w:lang w:val="zh-CN"/>
        </w:rPr>
        <w:t>机关事业单位基本养老保险缴费、职工基本医疗保险缴费、公务员医疗补助缴费、其他社会保障缴费、住房公积金、医疗费、其他工资福利支出</w:t>
      </w:r>
      <w:r>
        <w:rPr>
          <w:rFonts w:hint="eastAsia" w:ascii="宋体" w:cs="黑体"/>
          <w:color w:val="auto"/>
          <w:sz w:val="28"/>
          <w:szCs w:val="28"/>
        </w:rPr>
        <w:t>；公用经费</w:t>
      </w:r>
      <w:r>
        <w:rPr>
          <w:rFonts w:ascii="宋体" w:cs="黑体"/>
          <w:color w:val="auto"/>
          <w:sz w:val="28"/>
          <w:szCs w:val="28"/>
        </w:rPr>
        <w:t>8.81</w:t>
      </w:r>
      <w:r>
        <w:rPr>
          <w:rFonts w:hint="eastAsia" w:ascii="宋体" w:cs="黑体"/>
          <w:color w:val="auto"/>
          <w:sz w:val="28"/>
          <w:szCs w:val="28"/>
        </w:rPr>
        <w:t>万元，占基本支出的</w:t>
      </w:r>
      <w:r>
        <w:rPr>
          <w:rFonts w:ascii="宋体" w:cs="黑体"/>
          <w:color w:val="auto"/>
          <w:sz w:val="28"/>
          <w:szCs w:val="28"/>
        </w:rPr>
        <w:t>7%</w:t>
      </w:r>
      <w:r>
        <w:rPr>
          <w:rFonts w:hint="eastAsia" w:ascii="宋体" w:cs="黑体"/>
          <w:color w:val="auto"/>
          <w:sz w:val="28"/>
          <w:szCs w:val="28"/>
        </w:rPr>
        <w:t>，主要包括办公费、印刷费、咨询费、手续费、</w:t>
      </w:r>
      <w:r>
        <w:rPr>
          <w:rFonts w:hint="eastAsia" w:ascii="宋体" w:cs="黑体"/>
          <w:color w:val="auto"/>
          <w:sz w:val="28"/>
          <w:szCs w:val="28"/>
          <w:lang w:val="zh-CN"/>
        </w:rPr>
        <w:t>邮电费、取暖费、物业管理费、差旅费、维修（护）费、租赁费、会议费、培训费、公务接待费、专用材料费、劳务费、委托业务费、工会经费、福利费、公务用车运行维护费、其他交通费用、其他商品和服务支出</w:t>
      </w:r>
      <w:r>
        <w:rPr>
          <w:rFonts w:hint="eastAsia" w:ascii="宋体" w:cs="黑体"/>
          <w:color w:val="auto"/>
          <w:sz w:val="28"/>
          <w:szCs w:val="28"/>
        </w:rPr>
        <w:t>。</w:t>
      </w:r>
    </w:p>
    <w:p>
      <w:pPr>
        <w:pStyle w:val="14"/>
        <w:rPr>
          <w:rFonts w:hAnsi="黑体"/>
          <w:b/>
          <w:color w:val="auto"/>
          <w:sz w:val="28"/>
          <w:szCs w:val="28"/>
        </w:rPr>
      </w:pPr>
      <w:r>
        <w:rPr>
          <w:rFonts w:hint="eastAsia" w:hAnsi="黑体"/>
          <w:b/>
          <w:color w:val="auto"/>
          <w:sz w:val="28"/>
          <w:szCs w:val="28"/>
        </w:rPr>
        <w:t>七、一般公共预算财政拨款三公经费支出决算情况说明</w:t>
      </w:r>
    </w:p>
    <w:p>
      <w:pPr>
        <w:pStyle w:val="14"/>
        <w:rPr>
          <w:rFonts w:ascii="宋体" w:hAnsi="宋体" w:eastAsia="宋体"/>
          <w:b/>
          <w:color w:val="auto"/>
          <w:sz w:val="28"/>
          <w:szCs w:val="28"/>
          <w:lang w:val="zh-CN"/>
        </w:rPr>
      </w:pPr>
      <w:r>
        <w:rPr>
          <w:rFonts w:hint="eastAsia" w:ascii="宋体" w:hAnsi="宋体" w:eastAsia="宋体"/>
          <w:b/>
          <w:color w:val="auto"/>
          <w:sz w:val="32"/>
          <w:szCs w:val="32"/>
        </w:rPr>
        <w:t>（</w:t>
      </w:r>
      <w:r>
        <w:rPr>
          <w:rFonts w:hint="eastAsia" w:ascii="宋体" w:hAnsi="宋体" w:eastAsia="宋体"/>
          <w:b/>
          <w:color w:val="auto"/>
          <w:sz w:val="28"/>
          <w:szCs w:val="28"/>
          <w:lang w:val="zh-CN"/>
        </w:rPr>
        <w:t>一）“三公”经费财政拨款支出决算总体情况说明</w:t>
      </w:r>
    </w:p>
    <w:p>
      <w:pPr>
        <w:pStyle w:val="14"/>
        <w:ind w:firstLine="693" w:firstLineChars="250"/>
        <w:rPr>
          <w:rFonts w:ascii="宋体" w:hAnsi="宋体" w:eastAsia="宋体"/>
          <w:color w:val="auto"/>
          <w:sz w:val="28"/>
          <w:szCs w:val="28"/>
          <w:lang w:val="zh-CN"/>
        </w:rPr>
      </w:pPr>
      <w:r>
        <w:rPr>
          <w:rFonts w:hint="eastAsia" w:ascii="宋体" w:hAnsi="宋体" w:eastAsia="宋体"/>
          <w:color w:val="auto"/>
          <w:sz w:val="28"/>
          <w:szCs w:val="28"/>
          <w:lang w:val="zh-CN"/>
        </w:rPr>
        <w:t>“三公”经费财政拨款支出预算为</w:t>
      </w:r>
      <w:r>
        <w:rPr>
          <w:rFonts w:ascii="宋体" w:hAnsi="宋体" w:eastAsia="宋体"/>
          <w:color w:val="auto"/>
          <w:sz w:val="28"/>
          <w:szCs w:val="28"/>
        </w:rPr>
        <w:t>6.00</w:t>
      </w:r>
      <w:r>
        <w:rPr>
          <w:rFonts w:hint="eastAsia" w:ascii="宋体" w:hAnsi="宋体" w:eastAsia="宋体"/>
          <w:color w:val="auto"/>
          <w:sz w:val="28"/>
          <w:szCs w:val="28"/>
          <w:lang w:val="zh-CN"/>
        </w:rPr>
        <w:t>万元，支出决算为</w:t>
      </w:r>
      <w:r>
        <w:rPr>
          <w:rFonts w:ascii="宋体" w:hAnsi="宋体" w:eastAsia="宋体"/>
          <w:color w:val="auto"/>
          <w:sz w:val="28"/>
          <w:szCs w:val="28"/>
        </w:rPr>
        <w:t>5.36</w:t>
      </w:r>
      <w:r>
        <w:rPr>
          <w:rFonts w:hint="eastAsia" w:ascii="宋体" w:hAnsi="宋体" w:eastAsia="宋体"/>
          <w:color w:val="auto"/>
          <w:sz w:val="28"/>
          <w:szCs w:val="28"/>
          <w:lang w:val="zh-CN"/>
        </w:rPr>
        <w:t>万元，完成预算的</w:t>
      </w:r>
      <w:r>
        <w:rPr>
          <w:rFonts w:ascii="宋体" w:hAnsi="宋体" w:eastAsia="宋体"/>
          <w:color w:val="auto"/>
          <w:sz w:val="28"/>
          <w:szCs w:val="28"/>
        </w:rPr>
        <w:t>90</w:t>
      </w:r>
      <w:r>
        <w:rPr>
          <w:rFonts w:ascii="宋体" w:hAnsi="宋体" w:eastAsia="宋体"/>
          <w:color w:val="auto"/>
          <w:sz w:val="28"/>
          <w:szCs w:val="28"/>
          <w:lang w:val="zh-CN"/>
        </w:rPr>
        <w:t>%</w:t>
      </w:r>
      <w:r>
        <w:rPr>
          <w:rFonts w:hint="eastAsia" w:ascii="宋体" w:hAnsi="宋体" w:eastAsia="宋体"/>
          <w:color w:val="auto"/>
          <w:sz w:val="28"/>
          <w:szCs w:val="28"/>
          <w:lang w:val="zh-CN"/>
        </w:rPr>
        <w:t>，其中：</w:t>
      </w:r>
    </w:p>
    <w:p>
      <w:pPr>
        <w:pStyle w:val="14"/>
        <w:ind w:firstLine="693" w:firstLineChars="250"/>
        <w:rPr>
          <w:rFonts w:ascii="宋体" w:hAnsi="宋体" w:eastAsia="宋体"/>
          <w:color w:val="auto"/>
          <w:sz w:val="28"/>
          <w:szCs w:val="28"/>
          <w:lang w:val="zh-CN"/>
        </w:rPr>
      </w:pPr>
      <w:r>
        <w:rPr>
          <w:rFonts w:hint="eastAsia" w:ascii="宋体" w:hAnsi="宋体" w:eastAsia="宋体"/>
          <w:color w:val="auto"/>
          <w:sz w:val="28"/>
          <w:szCs w:val="28"/>
          <w:lang w:val="zh-CN"/>
        </w:rPr>
        <w:t>因公出国（境）费支出预算为</w:t>
      </w:r>
      <w:r>
        <w:rPr>
          <w:rFonts w:ascii="宋体" w:hAnsi="宋体" w:eastAsia="宋体"/>
          <w:color w:val="auto"/>
          <w:sz w:val="28"/>
          <w:szCs w:val="28"/>
        </w:rPr>
        <w:t>0.00</w:t>
      </w:r>
      <w:r>
        <w:rPr>
          <w:rFonts w:hint="eastAsia" w:ascii="宋体" w:hAnsi="宋体" w:eastAsia="宋体"/>
          <w:color w:val="auto"/>
          <w:sz w:val="28"/>
          <w:szCs w:val="28"/>
          <w:lang w:val="zh-CN"/>
        </w:rPr>
        <w:t>万元，支出决算为</w:t>
      </w:r>
      <w:r>
        <w:rPr>
          <w:rFonts w:ascii="宋体" w:hAnsi="宋体" w:eastAsia="宋体"/>
          <w:color w:val="auto"/>
          <w:sz w:val="28"/>
          <w:szCs w:val="28"/>
        </w:rPr>
        <w:t>0.00</w:t>
      </w:r>
      <w:r>
        <w:rPr>
          <w:rFonts w:hint="eastAsia" w:ascii="宋体" w:hAnsi="宋体" w:eastAsia="宋体"/>
          <w:color w:val="auto"/>
          <w:sz w:val="28"/>
          <w:szCs w:val="28"/>
          <w:lang w:val="zh-CN"/>
        </w:rPr>
        <w:t>万元，</w:t>
      </w:r>
      <w:r>
        <w:rPr>
          <w:rFonts w:hint="eastAsia" w:ascii="宋体" w:hAnsi="宋体" w:eastAsia="宋体"/>
          <w:color w:val="auto"/>
          <w:sz w:val="28"/>
          <w:szCs w:val="28"/>
        </w:rPr>
        <w:t>因为</w:t>
      </w:r>
      <w:r>
        <w:rPr>
          <w:rFonts w:hint="eastAsia" w:ascii="宋体" w:hAnsi="宋体" w:eastAsia="宋体"/>
          <w:color w:val="auto"/>
          <w:sz w:val="28"/>
          <w:szCs w:val="28"/>
          <w:lang w:val="zh-CN"/>
        </w:rPr>
        <w:t>是新</w:t>
      </w:r>
      <w:r>
        <w:rPr>
          <w:rFonts w:hint="eastAsia" w:ascii="宋体" w:hAnsi="宋体" w:eastAsia="宋体"/>
          <w:color w:val="auto"/>
          <w:sz w:val="28"/>
          <w:szCs w:val="28"/>
        </w:rPr>
        <w:t>成立的</w:t>
      </w:r>
      <w:r>
        <w:rPr>
          <w:rFonts w:hint="eastAsia" w:ascii="宋体" w:hAnsi="宋体" w:eastAsia="宋体"/>
          <w:color w:val="auto"/>
          <w:sz w:val="28"/>
          <w:szCs w:val="28"/>
          <w:lang w:val="zh-CN"/>
        </w:rPr>
        <w:t>单位，</w:t>
      </w:r>
      <w:r>
        <w:rPr>
          <w:rFonts w:hint="eastAsia" w:ascii="宋体" w:hAnsi="宋体" w:eastAsia="宋体"/>
          <w:color w:val="auto"/>
          <w:sz w:val="28"/>
          <w:szCs w:val="28"/>
        </w:rPr>
        <w:t>无上年对比数</w:t>
      </w:r>
      <w:r>
        <w:rPr>
          <w:rFonts w:hint="eastAsia" w:ascii="宋体" w:hAnsi="宋体" w:eastAsia="宋体"/>
          <w:color w:val="auto"/>
          <w:sz w:val="28"/>
          <w:szCs w:val="28"/>
          <w:lang w:val="zh-CN"/>
        </w:rPr>
        <w:t>。</w:t>
      </w:r>
    </w:p>
    <w:p>
      <w:pPr>
        <w:pStyle w:val="14"/>
        <w:ind w:firstLine="554" w:firstLineChars="200"/>
        <w:rPr>
          <w:rFonts w:ascii="宋体" w:hAnsi="宋体" w:eastAsia="宋体"/>
          <w:color w:val="auto"/>
          <w:sz w:val="28"/>
          <w:szCs w:val="28"/>
        </w:rPr>
      </w:pPr>
      <w:r>
        <w:rPr>
          <w:rFonts w:hint="eastAsia" w:ascii="宋体" w:hAnsi="宋体" w:eastAsia="宋体"/>
          <w:color w:val="auto"/>
          <w:sz w:val="28"/>
          <w:szCs w:val="28"/>
          <w:lang w:val="zh-CN"/>
        </w:rPr>
        <w:t>公务接待费支出预算为</w:t>
      </w:r>
      <w:r>
        <w:rPr>
          <w:rFonts w:ascii="宋体" w:hAnsi="宋体" w:eastAsia="宋体"/>
          <w:color w:val="auto"/>
          <w:sz w:val="28"/>
          <w:szCs w:val="28"/>
        </w:rPr>
        <w:t>3.00</w:t>
      </w:r>
      <w:r>
        <w:rPr>
          <w:rFonts w:hint="eastAsia" w:ascii="宋体" w:hAnsi="宋体" w:eastAsia="宋体"/>
          <w:color w:val="auto"/>
          <w:sz w:val="28"/>
          <w:szCs w:val="28"/>
          <w:lang w:val="zh-CN"/>
        </w:rPr>
        <w:t>万元，支出决算为</w:t>
      </w:r>
      <w:r>
        <w:rPr>
          <w:rFonts w:ascii="宋体" w:hAnsi="宋体" w:eastAsia="宋体"/>
          <w:color w:val="auto"/>
          <w:sz w:val="28"/>
          <w:szCs w:val="28"/>
        </w:rPr>
        <w:t>0.55</w:t>
      </w:r>
      <w:r>
        <w:rPr>
          <w:rFonts w:hint="eastAsia" w:ascii="宋体" w:hAnsi="宋体" w:eastAsia="宋体"/>
          <w:color w:val="auto"/>
          <w:sz w:val="28"/>
          <w:szCs w:val="28"/>
          <w:lang w:val="zh-CN"/>
        </w:rPr>
        <w:t>万元，完成预算的</w:t>
      </w:r>
      <w:r>
        <w:rPr>
          <w:rFonts w:ascii="宋体" w:hAnsi="宋体" w:eastAsia="宋体"/>
          <w:color w:val="auto"/>
          <w:sz w:val="32"/>
          <w:szCs w:val="32"/>
        </w:rPr>
        <w:t>18%</w:t>
      </w:r>
      <w:r>
        <w:rPr>
          <w:rFonts w:hint="eastAsia" w:ascii="宋体" w:hAnsi="宋体" w:eastAsia="宋体"/>
          <w:color w:val="auto"/>
          <w:sz w:val="32"/>
          <w:szCs w:val="32"/>
        </w:rPr>
        <w:t>，</w:t>
      </w:r>
      <w:r>
        <w:rPr>
          <w:rFonts w:hint="eastAsia" w:ascii="宋体" w:hAnsi="宋体" w:eastAsia="宋体"/>
          <w:color w:val="auto"/>
          <w:sz w:val="28"/>
          <w:szCs w:val="28"/>
          <w:lang w:val="zh-CN"/>
        </w:rPr>
        <w:t>决算数小于预算数的主要原因是</w:t>
      </w:r>
      <w:r>
        <w:rPr>
          <w:rFonts w:hint="eastAsia" w:ascii="宋体" w:hAnsi="宋体" w:eastAsia="宋体"/>
          <w:color w:val="auto"/>
          <w:sz w:val="28"/>
          <w:szCs w:val="28"/>
        </w:rPr>
        <w:t>厉行节约，严把接待关。因为</w:t>
      </w:r>
      <w:r>
        <w:rPr>
          <w:rFonts w:hint="eastAsia" w:ascii="宋体" w:hAnsi="宋体" w:eastAsia="宋体"/>
          <w:color w:val="auto"/>
          <w:sz w:val="28"/>
          <w:szCs w:val="28"/>
          <w:lang w:val="zh-CN"/>
        </w:rPr>
        <w:t>是新</w:t>
      </w:r>
      <w:r>
        <w:rPr>
          <w:rFonts w:hint="eastAsia" w:ascii="宋体" w:hAnsi="宋体" w:eastAsia="宋体"/>
          <w:color w:val="auto"/>
          <w:sz w:val="28"/>
          <w:szCs w:val="28"/>
        </w:rPr>
        <w:t>成立的</w:t>
      </w:r>
      <w:r>
        <w:rPr>
          <w:rFonts w:hint="eastAsia" w:ascii="宋体" w:hAnsi="宋体" w:eastAsia="宋体"/>
          <w:color w:val="auto"/>
          <w:sz w:val="28"/>
          <w:szCs w:val="28"/>
          <w:lang w:val="zh-CN"/>
        </w:rPr>
        <w:t>单位，</w:t>
      </w:r>
      <w:r>
        <w:rPr>
          <w:rFonts w:hint="eastAsia" w:ascii="宋体" w:hAnsi="宋体" w:eastAsia="宋体"/>
          <w:color w:val="auto"/>
          <w:sz w:val="28"/>
          <w:szCs w:val="28"/>
        </w:rPr>
        <w:t>无上年对比数。</w:t>
      </w:r>
    </w:p>
    <w:p>
      <w:pPr>
        <w:pStyle w:val="14"/>
        <w:ind w:firstLine="554" w:firstLineChars="200"/>
        <w:rPr>
          <w:rFonts w:ascii="宋体" w:hAnsi="宋体" w:eastAsia="宋体"/>
          <w:color w:val="auto"/>
          <w:sz w:val="28"/>
          <w:szCs w:val="28"/>
          <w:lang w:val="zh-CN"/>
        </w:rPr>
      </w:pPr>
      <w:r>
        <w:rPr>
          <w:rFonts w:hint="eastAsia" w:ascii="宋体" w:hAnsi="宋体" w:eastAsia="宋体"/>
          <w:color w:val="auto"/>
          <w:sz w:val="28"/>
          <w:szCs w:val="28"/>
          <w:lang w:val="zh-CN"/>
        </w:rPr>
        <w:t>公务用车购置费及运行维护费支出预算为</w:t>
      </w:r>
      <w:r>
        <w:rPr>
          <w:rFonts w:ascii="宋体" w:hAnsi="宋体" w:eastAsia="宋体"/>
          <w:color w:val="auto"/>
          <w:sz w:val="28"/>
          <w:szCs w:val="28"/>
        </w:rPr>
        <w:t>3.00</w:t>
      </w:r>
      <w:r>
        <w:rPr>
          <w:rFonts w:hint="eastAsia" w:ascii="宋体" w:hAnsi="宋体" w:eastAsia="宋体"/>
          <w:color w:val="auto"/>
          <w:sz w:val="28"/>
          <w:szCs w:val="28"/>
          <w:lang w:val="zh-CN"/>
        </w:rPr>
        <w:t>万元，支出决算为</w:t>
      </w:r>
      <w:r>
        <w:rPr>
          <w:rFonts w:ascii="宋体" w:hAnsi="宋体" w:eastAsia="宋体"/>
          <w:color w:val="auto"/>
          <w:sz w:val="28"/>
          <w:szCs w:val="28"/>
        </w:rPr>
        <w:t>4.81</w:t>
      </w:r>
      <w:r>
        <w:rPr>
          <w:rFonts w:hint="eastAsia" w:ascii="宋体" w:hAnsi="宋体" w:eastAsia="宋体"/>
          <w:color w:val="auto"/>
          <w:sz w:val="28"/>
          <w:szCs w:val="28"/>
          <w:lang w:val="zh-CN"/>
        </w:rPr>
        <w:t>万元，完成预算的</w:t>
      </w:r>
      <w:r>
        <w:rPr>
          <w:rFonts w:ascii="宋体" w:hAnsi="宋体" w:eastAsia="宋体"/>
          <w:color w:val="auto"/>
          <w:sz w:val="28"/>
          <w:szCs w:val="28"/>
        </w:rPr>
        <w:t>160</w:t>
      </w:r>
      <w:r>
        <w:rPr>
          <w:rFonts w:ascii="宋体" w:hAnsi="宋体" w:eastAsia="宋体"/>
          <w:color w:val="auto"/>
          <w:sz w:val="28"/>
          <w:szCs w:val="28"/>
          <w:lang w:val="zh-CN"/>
        </w:rPr>
        <w:t>%</w:t>
      </w:r>
      <w:r>
        <w:rPr>
          <w:rFonts w:hint="eastAsia" w:ascii="宋体" w:hAnsi="宋体" w:eastAsia="宋体"/>
          <w:color w:val="auto"/>
          <w:sz w:val="28"/>
          <w:szCs w:val="28"/>
          <w:lang w:val="zh-CN"/>
        </w:rPr>
        <w:t>，决算数</w:t>
      </w:r>
      <w:r>
        <w:rPr>
          <w:rFonts w:hint="eastAsia" w:ascii="宋体" w:hAnsi="宋体" w:eastAsia="宋体"/>
          <w:color w:val="auto"/>
          <w:sz w:val="28"/>
          <w:szCs w:val="28"/>
        </w:rPr>
        <w:t>大</w:t>
      </w:r>
      <w:r>
        <w:rPr>
          <w:rFonts w:hint="eastAsia" w:ascii="宋体" w:hAnsi="宋体" w:eastAsia="宋体"/>
          <w:color w:val="auto"/>
          <w:sz w:val="28"/>
          <w:szCs w:val="28"/>
          <w:lang w:val="zh-CN"/>
        </w:rPr>
        <w:t>于年初预算数的主要原因是</w:t>
      </w:r>
      <w:r>
        <w:rPr>
          <w:rFonts w:hint="eastAsia" w:ascii="宋体" w:hAnsi="宋体" w:eastAsia="宋体"/>
          <w:color w:val="auto"/>
          <w:sz w:val="28"/>
          <w:szCs w:val="28"/>
        </w:rPr>
        <w:t>财政预算时只有</w:t>
      </w:r>
      <w:r>
        <w:rPr>
          <w:rFonts w:ascii="宋体" w:hAnsi="宋体" w:eastAsia="宋体"/>
          <w:color w:val="auto"/>
          <w:sz w:val="28"/>
          <w:szCs w:val="28"/>
        </w:rPr>
        <w:t>1</w:t>
      </w:r>
      <w:r>
        <w:rPr>
          <w:rFonts w:hint="eastAsia" w:ascii="宋体" w:hAnsi="宋体" w:eastAsia="宋体"/>
          <w:color w:val="auto"/>
          <w:sz w:val="28"/>
          <w:szCs w:val="28"/>
        </w:rPr>
        <w:t>台公务车辆</w:t>
      </w:r>
      <w:r>
        <w:rPr>
          <w:rFonts w:ascii="宋体" w:hAnsi="宋体" w:eastAsia="宋体"/>
          <w:color w:val="auto"/>
          <w:sz w:val="28"/>
          <w:szCs w:val="28"/>
        </w:rPr>
        <w:t>(</w:t>
      </w:r>
      <w:r>
        <w:rPr>
          <w:rFonts w:hint="eastAsia" w:ascii="宋体" w:hAnsi="宋体" w:eastAsia="宋体"/>
          <w:color w:val="auto"/>
          <w:sz w:val="28"/>
          <w:szCs w:val="28"/>
        </w:rPr>
        <w:t>湘</w:t>
      </w:r>
      <w:r>
        <w:rPr>
          <w:rFonts w:ascii="宋体" w:hAnsi="宋体" w:eastAsia="宋体"/>
          <w:color w:val="auto"/>
          <w:sz w:val="28"/>
          <w:szCs w:val="28"/>
        </w:rPr>
        <w:t>FE8996)</w:t>
      </w:r>
      <w:r>
        <w:rPr>
          <w:rFonts w:hint="eastAsia" w:ascii="宋体" w:hAnsi="宋体" w:eastAsia="宋体"/>
          <w:color w:val="auto"/>
          <w:sz w:val="28"/>
          <w:szCs w:val="28"/>
        </w:rPr>
        <w:t>，</w:t>
      </w:r>
      <w:r>
        <w:rPr>
          <w:rFonts w:ascii="宋体" w:hAnsi="宋体" w:eastAsia="宋体"/>
          <w:color w:val="auto"/>
          <w:sz w:val="28"/>
          <w:szCs w:val="28"/>
        </w:rPr>
        <w:t>2020</w:t>
      </w:r>
      <w:r>
        <w:rPr>
          <w:rFonts w:hint="eastAsia" w:ascii="宋体" w:hAnsi="宋体" w:eastAsia="宋体"/>
          <w:color w:val="auto"/>
          <w:sz w:val="28"/>
          <w:szCs w:val="28"/>
        </w:rPr>
        <w:t>年</w:t>
      </w:r>
      <w:r>
        <w:rPr>
          <w:rFonts w:ascii="宋体" w:hAnsi="宋体" w:eastAsia="宋体"/>
          <w:color w:val="auto"/>
          <w:sz w:val="28"/>
          <w:szCs w:val="28"/>
        </w:rPr>
        <w:t>2</w:t>
      </w:r>
      <w:r>
        <w:rPr>
          <w:rFonts w:hint="eastAsia" w:ascii="宋体" w:hAnsi="宋体" w:eastAsia="宋体"/>
          <w:color w:val="auto"/>
          <w:sz w:val="28"/>
          <w:szCs w:val="28"/>
        </w:rPr>
        <w:t>月从岳阳市市场监督管理局借入</w:t>
      </w:r>
      <w:r>
        <w:rPr>
          <w:rFonts w:ascii="宋体" w:hAnsi="宋体" w:eastAsia="宋体"/>
          <w:color w:val="auto"/>
          <w:sz w:val="28"/>
          <w:szCs w:val="28"/>
        </w:rPr>
        <w:t>1</w:t>
      </w:r>
      <w:r>
        <w:rPr>
          <w:rFonts w:hint="eastAsia" w:ascii="宋体" w:hAnsi="宋体" w:eastAsia="宋体"/>
          <w:color w:val="auto"/>
          <w:sz w:val="28"/>
          <w:szCs w:val="28"/>
        </w:rPr>
        <w:t>台执法车辆（湘</w:t>
      </w:r>
      <w:r>
        <w:rPr>
          <w:rFonts w:ascii="宋体" w:hAnsi="宋体" w:eastAsia="宋体"/>
          <w:color w:val="auto"/>
          <w:sz w:val="28"/>
          <w:szCs w:val="28"/>
        </w:rPr>
        <w:t>FA6808</w:t>
      </w:r>
      <w:r>
        <w:rPr>
          <w:rFonts w:hint="eastAsia" w:ascii="宋体" w:hAnsi="宋体" w:eastAsia="宋体"/>
          <w:color w:val="auto"/>
          <w:sz w:val="28"/>
          <w:szCs w:val="28"/>
        </w:rPr>
        <w:t>）未增加预算数，实际使用车辆为</w:t>
      </w:r>
      <w:r>
        <w:rPr>
          <w:rFonts w:ascii="宋体" w:hAnsi="宋体" w:eastAsia="宋体"/>
          <w:color w:val="auto"/>
          <w:sz w:val="28"/>
          <w:szCs w:val="28"/>
        </w:rPr>
        <w:t>2</w:t>
      </w:r>
      <w:r>
        <w:rPr>
          <w:rFonts w:hint="eastAsia" w:ascii="宋体" w:hAnsi="宋体" w:eastAsia="宋体"/>
          <w:color w:val="auto"/>
          <w:sz w:val="28"/>
          <w:szCs w:val="28"/>
        </w:rPr>
        <w:t>台</w:t>
      </w:r>
      <w:r>
        <w:rPr>
          <w:rFonts w:hint="eastAsia" w:ascii="宋体" w:hAnsi="宋体" w:eastAsia="宋体"/>
          <w:color w:val="auto"/>
          <w:sz w:val="28"/>
          <w:szCs w:val="28"/>
          <w:lang w:val="zh-CN"/>
        </w:rPr>
        <w:t>。</w:t>
      </w:r>
      <w:r>
        <w:rPr>
          <w:rFonts w:hint="eastAsia" w:ascii="宋体" w:hAnsi="宋体" w:eastAsia="宋体"/>
          <w:color w:val="auto"/>
          <w:sz w:val="28"/>
          <w:szCs w:val="28"/>
        </w:rPr>
        <w:t>因为</w:t>
      </w:r>
      <w:r>
        <w:rPr>
          <w:rFonts w:hint="eastAsia" w:ascii="宋体" w:hAnsi="宋体" w:eastAsia="宋体"/>
          <w:color w:val="auto"/>
          <w:sz w:val="28"/>
          <w:szCs w:val="28"/>
          <w:lang w:val="zh-CN"/>
        </w:rPr>
        <w:t>是新</w:t>
      </w:r>
      <w:r>
        <w:rPr>
          <w:rFonts w:hint="eastAsia" w:ascii="宋体" w:hAnsi="宋体" w:eastAsia="宋体"/>
          <w:color w:val="auto"/>
          <w:sz w:val="28"/>
          <w:szCs w:val="28"/>
        </w:rPr>
        <w:t>成立的</w:t>
      </w:r>
      <w:r>
        <w:rPr>
          <w:rFonts w:hint="eastAsia" w:ascii="宋体" w:hAnsi="宋体" w:eastAsia="宋体"/>
          <w:color w:val="auto"/>
          <w:sz w:val="28"/>
          <w:szCs w:val="28"/>
          <w:lang w:val="zh-CN"/>
        </w:rPr>
        <w:t>单位，</w:t>
      </w:r>
      <w:r>
        <w:rPr>
          <w:rFonts w:hint="eastAsia" w:ascii="宋体" w:hAnsi="宋体" w:eastAsia="宋体"/>
          <w:color w:val="auto"/>
          <w:sz w:val="28"/>
          <w:szCs w:val="28"/>
        </w:rPr>
        <w:t>无上年对比数。</w:t>
      </w:r>
    </w:p>
    <w:p>
      <w:pPr>
        <w:pStyle w:val="14"/>
        <w:ind w:firstLine="554" w:firstLineChars="200"/>
        <w:rPr>
          <w:rFonts w:ascii="宋体" w:hAnsi="宋体" w:eastAsia="宋体"/>
          <w:color w:val="auto"/>
          <w:sz w:val="28"/>
          <w:szCs w:val="28"/>
          <w:lang w:val="zh-CN"/>
        </w:rPr>
      </w:pPr>
      <w:r>
        <w:rPr>
          <w:rFonts w:hint="eastAsia" w:ascii="宋体" w:hAnsi="宋体" w:eastAsia="宋体"/>
          <w:color w:val="auto"/>
          <w:sz w:val="28"/>
          <w:szCs w:val="28"/>
          <w:lang w:val="zh-CN"/>
        </w:rPr>
        <w:t>（二）“三公”经费财政拨款支出决算具体情况说明</w:t>
      </w:r>
    </w:p>
    <w:p>
      <w:pPr>
        <w:pStyle w:val="14"/>
        <w:ind w:firstLine="554" w:firstLineChars="200"/>
        <w:rPr>
          <w:rFonts w:ascii="宋体" w:hAnsi="宋体" w:eastAsia="宋体"/>
          <w:color w:val="auto"/>
          <w:sz w:val="28"/>
          <w:szCs w:val="28"/>
          <w:lang w:val="zh-CN"/>
        </w:rPr>
      </w:pPr>
      <w:r>
        <w:rPr>
          <w:rFonts w:ascii="宋体" w:hAnsi="宋体" w:eastAsia="宋体"/>
          <w:color w:val="auto"/>
          <w:sz w:val="28"/>
          <w:szCs w:val="28"/>
          <w:lang w:val="zh-CN"/>
        </w:rPr>
        <w:t>2020</w:t>
      </w:r>
      <w:r>
        <w:rPr>
          <w:rFonts w:hint="eastAsia" w:ascii="宋体" w:hAnsi="宋体" w:eastAsia="宋体"/>
          <w:color w:val="auto"/>
          <w:sz w:val="28"/>
          <w:szCs w:val="28"/>
          <w:lang w:val="zh-CN"/>
        </w:rPr>
        <w:t>年度“三公”经费财政拨款支出决算中，公务接待费支出决算</w:t>
      </w:r>
      <w:r>
        <w:rPr>
          <w:rFonts w:ascii="宋体" w:hAnsi="宋体" w:eastAsia="宋体"/>
          <w:color w:val="auto"/>
          <w:sz w:val="28"/>
          <w:szCs w:val="28"/>
        </w:rPr>
        <w:t>0.55</w:t>
      </w:r>
      <w:r>
        <w:rPr>
          <w:rFonts w:hint="eastAsia" w:ascii="宋体" w:hAnsi="宋体" w:eastAsia="宋体"/>
          <w:color w:val="auto"/>
          <w:sz w:val="28"/>
          <w:szCs w:val="28"/>
          <w:lang w:val="zh-CN"/>
        </w:rPr>
        <w:t>万元，占</w:t>
      </w:r>
      <w:r>
        <w:rPr>
          <w:rFonts w:ascii="宋体" w:hAnsi="宋体" w:eastAsia="宋体"/>
          <w:color w:val="auto"/>
          <w:sz w:val="28"/>
          <w:szCs w:val="28"/>
        </w:rPr>
        <w:t>10</w:t>
      </w:r>
      <w:r>
        <w:rPr>
          <w:rFonts w:ascii="宋体" w:hAnsi="宋体" w:eastAsia="宋体"/>
          <w:color w:val="auto"/>
          <w:sz w:val="28"/>
          <w:szCs w:val="28"/>
          <w:lang w:val="zh-CN"/>
        </w:rPr>
        <w:t>%,</w:t>
      </w:r>
      <w:r>
        <w:rPr>
          <w:rFonts w:hint="eastAsia" w:ascii="宋体" w:hAnsi="宋体" w:eastAsia="宋体"/>
          <w:color w:val="auto"/>
          <w:sz w:val="28"/>
          <w:szCs w:val="28"/>
          <w:lang w:val="zh-CN"/>
        </w:rPr>
        <w:t>因公出国（境）费支出决算</w:t>
      </w:r>
      <w:r>
        <w:rPr>
          <w:rFonts w:ascii="宋体" w:hAnsi="宋体" w:eastAsia="宋体"/>
          <w:color w:val="auto"/>
          <w:sz w:val="28"/>
          <w:szCs w:val="28"/>
        </w:rPr>
        <w:t>0.00</w:t>
      </w:r>
      <w:r>
        <w:rPr>
          <w:rFonts w:hint="eastAsia" w:ascii="宋体" w:hAnsi="宋体" w:eastAsia="宋体"/>
          <w:color w:val="auto"/>
          <w:sz w:val="28"/>
          <w:szCs w:val="28"/>
          <w:lang w:val="zh-CN"/>
        </w:rPr>
        <w:t>万元，公务用车购置费及运行维护费支出决算</w:t>
      </w:r>
      <w:r>
        <w:rPr>
          <w:rFonts w:ascii="宋体" w:hAnsi="宋体" w:eastAsia="宋体"/>
          <w:color w:val="auto"/>
          <w:sz w:val="28"/>
          <w:szCs w:val="28"/>
        </w:rPr>
        <w:t>4.81</w:t>
      </w:r>
      <w:r>
        <w:rPr>
          <w:rFonts w:hint="eastAsia" w:ascii="宋体" w:hAnsi="宋体" w:eastAsia="宋体"/>
          <w:color w:val="auto"/>
          <w:sz w:val="28"/>
          <w:szCs w:val="28"/>
          <w:lang w:val="zh-CN"/>
        </w:rPr>
        <w:t>万元，占</w:t>
      </w:r>
      <w:r>
        <w:rPr>
          <w:rFonts w:ascii="宋体" w:hAnsi="宋体" w:eastAsia="宋体"/>
          <w:color w:val="auto"/>
          <w:sz w:val="28"/>
          <w:szCs w:val="28"/>
        </w:rPr>
        <w:t>90</w:t>
      </w:r>
      <w:r>
        <w:rPr>
          <w:rFonts w:ascii="宋体" w:hAnsi="宋体" w:eastAsia="宋体"/>
          <w:color w:val="auto"/>
          <w:sz w:val="28"/>
          <w:szCs w:val="28"/>
          <w:lang w:val="zh-CN"/>
        </w:rPr>
        <w:t>%</w:t>
      </w:r>
      <w:r>
        <w:rPr>
          <w:rFonts w:hint="eastAsia" w:ascii="宋体" w:hAnsi="宋体" w:eastAsia="宋体"/>
          <w:color w:val="auto"/>
          <w:sz w:val="28"/>
          <w:szCs w:val="28"/>
          <w:lang w:val="zh-CN"/>
        </w:rPr>
        <w:t>。其中：</w:t>
      </w:r>
    </w:p>
    <w:p>
      <w:pPr>
        <w:pStyle w:val="14"/>
        <w:ind w:firstLine="554" w:firstLineChars="200"/>
        <w:rPr>
          <w:rFonts w:ascii="宋体" w:hAnsi="宋体" w:eastAsia="宋体"/>
          <w:color w:val="auto"/>
          <w:sz w:val="28"/>
          <w:szCs w:val="28"/>
          <w:lang w:val="zh-CN"/>
        </w:rPr>
      </w:pPr>
      <w:r>
        <w:rPr>
          <w:rFonts w:ascii="宋体" w:hAnsi="宋体" w:eastAsia="宋体"/>
          <w:color w:val="auto"/>
          <w:sz w:val="28"/>
          <w:szCs w:val="28"/>
          <w:lang w:val="zh-CN"/>
        </w:rPr>
        <w:t>1</w:t>
      </w:r>
      <w:r>
        <w:rPr>
          <w:rFonts w:hint="eastAsia" w:ascii="宋体" w:hAnsi="宋体" w:eastAsia="宋体"/>
          <w:color w:val="auto"/>
          <w:sz w:val="28"/>
          <w:szCs w:val="28"/>
          <w:lang w:val="zh-CN"/>
        </w:rPr>
        <w:t>、因公出国（境）费支出决算为</w:t>
      </w:r>
      <w:r>
        <w:rPr>
          <w:rFonts w:ascii="宋体" w:hAnsi="宋体" w:eastAsia="宋体"/>
          <w:color w:val="auto"/>
          <w:sz w:val="28"/>
          <w:szCs w:val="28"/>
        </w:rPr>
        <w:t>0.00</w:t>
      </w:r>
      <w:r>
        <w:rPr>
          <w:rFonts w:hint="eastAsia" w:ascii="宋体" w:hAnsi="宋体" w:eastAsia="宋体"/>
          <w:color w:val="auto"/>
          <w:sz w:val="28"/>
          <w:szCs w:val="28"/>
          <w:lang w:val="zh-CN"/>
        </w:rPr>
        <w:t>万元。</w:t>
      </w:r>
    </w:p>
    <w:p>
      <w:pPr>
        <w:pStyle w:val="14"/>
        <w:ind w:firstLine="554" w:firstLineChars="200"/>
        <w:rPr>
          <w:rFonts w:ascii="宋体" w:hAnsi="宋体" w:eastAsia="宋体"/>
          <w:color w:val="auto"/>
          <w:sz w:val="28"/>
          <w:szCs w:val="28"/>
          <w:lang w:val="zh-CN"/>
        </w:rPr>
      </w:pPr>
      <w:r>
        <w:rPr>
          <w:rFonts w:ascii="宋体" w:hAnsi="宋体" w:eastAsia="宋体"/>
          <w:color w:val="auto"/>
          <w:sz w:val="28"/>
          <w:szCs w:val="28"/>
          <w:lang w:val="zh-CN"/>
        </w:rPr>
        <w:t>2</w:t>
      </w:r>
      <w:r>
        <w:rPr>
          <w:rFonts w:hint="eastAsia" w:ascii="宋体" w:hAnsi="宋体" w:eastAsia="宋体"/>
          <w:color w:val="auto"/>
          <w:sz w:val="28"/>
          <w:szCs w:val="28"/>
          <w:lang w:val="zh-CN"/>
        </w:rPr>
        <w:t>、公务接待费支出决算为</w:t>
      </w:r>
      <w:r>
        <w:rPr>
          <w:rFonts w:ascii="宋体" w:hAnsi="宋体" w:eastAsia="宋体"/>
          <w:color w:val="auto"/>
          <w:sz w:val="28"/>
          <w:szCs w:val="28"/>
        </w:rPr>
        <w:t>0.55</w:t>
      </w:r>
      <w:r>
        <w:rPr>
          <w:rFonts w:hint="eastAsia" w:ascii="宋体" w:hAnsi="宋体" w:eastAsia="宋体"/>
          <w:color w:val="auto"/>
          <w:sz w:val="28"/>
          <w:szCs w:val="28"/>
          <w:lang w:val="zh-CN"/>
        </w:rPr>
        <w:t>万元，全年共接待来访团组</w:t>
      </w:r>
      <w:r>
        <w:rPr>
          <w:rFonts w:ascii="宋体" w:hAnsi="宋体" w:eastAsia="宋体"/>
          <w:color w:val="auto"/>
          <w:sz w:val="28"/>
          <w:szCs w:val="28"/>
        </w:rPr>
        <w:t>9</w:t>
      </w:r>
      <w:r>
        <w:rPr>
          <w:rFonts w:hint="eastAsia" w:ascii="宋体" w:hAnsi="宋体" w:eastAsia="宋体"/>
          <w:color w:val="auto"/>
          <w:sz w:val="28"/>
          <w:szCs w:val="28"/>
          <w:lang w:val="zh-CN"/>
        </w:rPr>
        <w:t>个、来宾</w:t>
      </w:r>
      <w:r>
        <w:rPr>
          <w:rFonts w:ascii="宋体" w:hAnsi="宋体" w:eastAsia="宋体"/>
          <w:color w:val="auto"/>
          <w:sz w:val="28"/>
          <w:szCs w:val="28"/>
        </w:rPr>
        <w:t>86</w:t>
      </w:r>
      <w:r>
        <w:rPr>
          <w:rFonts w:hint="eastAsia" w:ascii="宋体" w:hAnsi="宋体" w:eastAsia="宋体"/>
          <w:color w:val="auto"/>
          <w:sz w:val="28"/>
          <w:szCs w:val="28"/>
          <w:lang w:val="zh-CN"/>
        </w:rPr>
        <w:t>人次，主要是学习交流、检查、考核、调研等发生的接待支出。</w:t>
      </w:r>
    </w:p>
    <w:p>
      <w:pPr>
        <w:pStyle w:val="14"/>
        <w:ind w:firstLine="554" w:firstLineChars="200"/>
        <w:rPr>
          <w:rFonts w:ascii="宋体" w:hAnsi="宋体" w:eastAsia="宋体"/>
          <w:color w:val="auto"/>
          <w:sz w:val="28"/>
          <w:szCs w:val="28"/>
          <w:lang w:val="zh-CN"/>
        </w:rPr>
      </w:pPr>
      <w:r>
        <w:rPr>
          <w:rFonts w:ascii="宋体" w:hAnsi="宋体" w:eastAsia="宋体"/>
          <w:color w:val="auto"/>
          <w:sz w:val="28"/>
          <w:szCs w:val="28"/>
          <w:lang w:val="zh-CN"/>
        </w:rPr>
        <w:t>3</w:t>
      </w:r>
      <w:r>
        <w:rPr>
          <w:rFonts w:hint="eastAsia" w:ascii="宋体" w:hAnsi="宋体" w:eastAsia="宋体"/>
          <w:color w:val="auto"/>
          <w:sz w:val="28"/>
          <w:szCs w:val="28"/>
          <w:lang w:val="zh-CN"/>
        </w:rPr>
        <w:t>、公务用车购置费及运行维护费支出决算为</w:t>
      </w:r>
      <w:r>
        <w:rPr>
          <w:rFonts w:ascii="宋体" w:hAnsi="宋体" w:eastAsia="宋体"/>
          <w:color w:val="auto"/>
          <w:sz w:val="28"/>
          <w:szCs w:val="28"/>
        </w:rPr>
        <w:t>4.81</w:t>
      </w:r>
      <w:r>
        <w:rPr>
          <w:rFonts w:hint="eastAsia" w:ascii="宋体" w:hAnsi="宋体" w:eastAsia="宋体"/>
          <w:color w:val="auto"/>
          <w:sz w:val="28"/>
          <w:szCs w:val="28"/>
          <w:lang w:val="zh-CN"/>
        </w:rPr>
        <w:t>万元，其中：公务用车购置费</w:t>
      </w:r>
      <w:r>
        <w:rPr>
          <w:rFonts w:ascii="宋体" w:hAnsi="宋体" w:eastAsia="宋体"/>
          <w:color w:val="auto"/>
          <w:sz w:val="28"/>
          <w:szCs w:val="28"/>
        </w:rPr>
        <w:t>0.00</w:t>
      </w:r>
      <w:r>
        <w:rPr>
          <w:rFonts w:hint="eastAsia" w:ascii="宋体" w:hAnsi="宋体" w:eastAsia="宋体"/>
          <w:color w:val="auto"/>
          <w:sz w:val="28"/>
          <w:szCs w:val="28"/>
          <w:lang w:val="zh-CN"/>
        </w:rPr>
        <w:t>万元。公务用车运行维护费</w:t>
      </w:r>
      <w:r>
        <w:rPr>
          <w:rFonts w:ascii="宋体" w:hAnsi="宋体" w:eastAsia="宋体"/>
          <w:color w:val="auto"/>
          <w:sz w:val="28"/>
          <w:szCs w:val="28"/>
        </w:rPr>
        <w:t>4.81</w:t>
      </w:r>
      <w:r>
        <w:rPr>
          <w:rFonts w:hint="eastAsia" w:ascii="宋体" w:hAnsi="宋体" w:eastAsia="宋体"/>
          <w:color w:val="auto"/>
          <w:sz w:val="28"/>
          <w:szCs w:val="28"/>
          <w:lang w:val="zh-CN"/>
        </w:rPr>
        <w:t>万元，主要是油料费、保险费、修理费等支出，截止</w:t>
      </w:r>
      <w:r>
        <w:rPr>
          <w:rFonts w:ascii="宋体" w:hAnsi="宋体" w:eastAsia="宋体"/>
          <w:color w:val="auto"/>
          <w:sz w:val="28"/>
          <w:szCs w:val="28"/>
          <w:lang w:val="zh-CN"/>
        </w:rPr>
        <w:t>2020</w:t>
      </w:r>
      <w:r>
        <w:rPr>
          <w:rFonts w:hint="eastAsia" w:ascii="宋体" w:hAnsi="宋体" w:eastAsia="宋体"/>
          <w:color w:val="auto"/>
          <w:sz w:val="28"/>
          <w:szCs w:val="28"/>
          <w:lang w:val="zh-CN"/>
        </w:rPr>
        <w:t>年</w:t>
      </w:r>
      <w:r>
        <w:rPr>
          <w:rFonts w:ascii="宋体" w:hAnsi="宋体" w:eastAsia="宋体"/>
          <w:color w:val="auto"/>
          <w:sz w:val="28"/>
          <w:szCs w:val="28"/>
          <w:lang w:val="zh-CN"/>
        </w:rPr>
        <w:t>12</w:t>
      </w:r>
      <w:r>
        <w:rPr>
          <w:rFonts w:hint="eastAsia" w:ascii="宋体" w:hAnsi="宋体" w:eastAsia="宋体"/>
          <w:color w:val="auto"/>
          <w:sz w:val="28"/>
          <w:szCs w:val="28"/>
          <w:lang w:val="zh-CN"/>
        </w:rPr>
        <w:t>月</w:t>
      </w:r>
      <w:r>
        <w:rPr>
          <w:rFonts w:ascii="宋体" w:hAnsi="宋体" w:eastAsia="宋体"/>
          <w:color w:val="auto"/>
          <w:sz w:val="28"/>
          <w:szCs w:val="28"/>
          <w:lang w:val="zh-CN"/>
        </w:rPr>
        <w:t>31</w:t>
      </w:r>
      <w:r>
        <w:rPr>
          <w:rFonts w:hint="eastAsia" w:ascii="宋体" w:hAnsi="宋体" w:eastAsia="宋体"/>
          <w:color w:val="auto"/>
          <w:sz w:val="28"/>
          <w:szCs w:val="28"/>
          <w:lang w:val="zh-CN"/>
        </w:rPr>
        <w:t>日，我单位开支财政拨款的公务用车保有量为</w:t>
      </w:r>
      <w:r>
        <w:rPr>
          <w:rFonts w:ascii="宋体" w:hAnsi="宋体" w:eastAsia="宋体"/>
          <w:color w:val="auto"/>
          <w:sz w:val="28"/>
          <w:szCs w:val="28"/>
        </w:rPr>
        <w:t>2</w:t>
      </w:r>
      <w:r>
        <w:rPr>
          <w:rFonts w:hint="eastAsia" w:ascii="宋体" w:hAnsi="宋体" w:eastAsia="宋体"/>
          <w:color w:val="auto"/>
          <w:sz w:val="28"/>
          <w:szCs w:val="28"/>
          <w:lang w:val="zh-CN"/>
        </w:rPr>
        <w:t>辆，</w:t>
      </w:r>
      <w:r>
        <w:rPr>
          <w:rFonts w:hint="eastAsia" w:ascii="宋体" w:hAnsi="宋体" w:eastAsia="宋体"/>
          <w:color w:val="auto"/>
          <w:sz w:val="28"/>
          <w:szCs w:val="28"/>
        </w:rPr>
        <w:t>所有权属于岳阳市市场监督管理局</w:t>
      </w:r>
      <w:r>
        <w:rPr>
          <w:rFonts w:hint="eastAsia" w:ascii="宋体" w:hAnsi="宋体" w:eastAsia="宋体"/>
          <w:color w:val="auto"/>
          <w:sz w:val="28"/>
          <w:szCs w:val="28"/>
          <w:lang w:val="zh-CN"/>
        </w:rPr>
        <w:t>。</w:t>
      </w:r>
    </w:p>
    <w:p>
      <w:pPr>
        <w:pStyle w:val="14"/>
        <w:rPr>
          <w:rFonts w:hAnsi="黑体"/>
          <w:b/>
          <w:color w:val="auto"/>
          <w:sz w:val="28"/>
          <w:szCs w:val="28"/>
        </w:rPr>
      </w:pPr>
      <w:r>
        <w:rPr>
          <w:rFonts w:hint="eastAsia" w:hAnsi="黑体"/>
          <w:b/>
          <w:color w:val="auto"/>
          <w:sz w:val="28"/>
          <w:szCs w:val="28"/>
        </w:rPr>
        <w:t>八、政府性基金预算收入支出决算情况</w:t>
      </w:r>
    </w:p>
    <w:p>
      <w:pPr>
        <w:pStyle w:val="14"/>
        <w:rPr>
          <w:rFonts w:ascii="宋体" w:hAnsi="宋体" w:eastAsia="宋体"/>
          <w:color w:val="auto"/>
          <w:sz w:val="28"/>
          <w:szCs w:val="28"/>
        </w:rPr>
      </w:pPr>
      <w:r>
        <w:rPr>
          <w:rFonts w:hint="eastAsia" w:ascii="宋体" w:hAnsi="宋体" w:eastAsia="宋体"/>
          <w:color w:val="auto"/>
          <w:sz w:val="28"/>
          <w:szCs w:val="28"/>
          <w:lang w:val="zh-CN"/>
        </w:rPr>
        <w:t>本单位无政府性基金收支。</w:t>
      </w:r>
    </w:p>
    <w:p>
      <w:pPr>
        <w:pStyle w:val="14"/>
        <w:rPr>
          <w:rFonts w:hAnsi="黑体"/>
          <w:b/>
          <w:color w:val="auto"/>
          <w:sz w:val="28"/>
          <w:szCs w:val="28"/>
        </w:rPr>
      </w:pPr>
      <w:r>
        <w:rPr>
          <w:rFonts w:hint="eastAsia" w:hAnsi="黑体"/>
          <w:b/>
          <w:color w:val="auto"/>
          <w:sz w:val="28"/>
          <w:szCs w:val="28"/>
        </w:rPr>
        <w:t>九、国有资本经营预算财政拨款支出决算情况</w:t>
      </w:r>
    </w:p>
    <w:p>
      <w:pPr>
        <w:pStyle w:val="14"/>
        <w:rPr>
          <w:rFonts w:ascii="宋体" w:hAnsi="宋体" w:eastAsia="宋体"/>
          <w:color w:val="auto"/>
          <w:sz w:val="28"/>
          <w:szCs w:val="28"/>
          <w:lang w:val="zh-CN"/>
        </w:rPr>
      </w:pPr>
      <w:r>
        <w:rPr>
          <w:rFonts w:hint="eastAsia" w:ascii="宋体" w:hAnsi="宋体" w:eastAsia="宋体"/>
          <w:color w:val="auto"/>
          <w:sz w:val="28"/>
          <w:szCs w:val="28"/>
        </w:rPr>
        <w:t>本</w:t>
      </w:r>
      <w:r>
        <w:rPr>
          <w:rFonts w:hint="eastAsia" w:ascii="宋体" w:hAnsi="宋体" w:eastAsia="宋体"/>
          <w:color w:val="auto"/>
          <w:sz w:val="28"/>
          <w:szCs w:val="28"/>
          <w:lang w:val="zh-CN"/>
        </w:rPr>
        <w:t>单位无国有资本经营预算财政拨款支出。</w:t>
      </w:r>
    </w:p>
    <w:p>
      <w:pPr>
        <w:pStyle w:val="14"/>
        <w:rPr>
          <w:rFonts w:hAnsi="黑体"/>
          <w:b/>
          <w:color w:val="auto"/>
          <w:sz w:val="28"/>
          <w:szCs w:val="28"/>
        </w:rPr>
      </w:pPr>
      <w:r>
        <w:rPr>
          <w:rFonts w:hint="eastAsia" w:hAnsi="黑体"/>
          <w:b/>
          <w:color w:val="auto"/>
          <w:sz w:val="28"/>
          <w:szCs w:val="28"/>
        </w:rPr>
        <w:t>十、关于机关运行经费支出说明</w:t>
      </w:r>
    </w:p>
    <w:p>
      <w:pPr>
        <w:pStyle w:val="14"/>
        <w:ind w:firstLine="554" w:firstLineChars="200"/>
        <w:rPr>
          <w:rFonts w:ascii="宋体" w:hAnsi="宋体" w:eastAsia="宋体"/>
          <w:color w:val="auto"/>
          <w:sz w:val="32"/>
          <w:szCs w:val="32"/>
        </w:rPr>
      </w:pPr>
      <w:r>
        <w:rPr>
          <w:rFonts w:hint="eastAsia" w:ascii="宋体" w:hAnsi="宋体" w:eastAsia="宋体"/>
          <w:color w:val="auto"/>
          <w:sz w:val="28"/>
          <w:szCs w:val="28"/>
          <w:lang w:val="zh-CN"/>
        </w:rPr>
        <w:t>本部门</w:t>
      </w:r>
      <w:r>
        <w:rPr>
          <w:rFonts w:ascii="宋体" w:hAnsi="宋体" w:eastAsia="宋体"/>
          <w:color w:val="auto"/>
          <w:sz w:val="28"/>
          <w:szCs w:val="28"/>
          <w:lang w:val="zh-CN"/>
        </w:rPr>
        <w:t>2020</w:t>
      </w:r>
      <w:r>
        <w:rPr>
          <w:rFonts w:hint="eastAsia" w:ascii="宋体" w:hAnsi="宋体" w:eastAsia="宋体"/>
          <w:color w:val="auto"/>
          <w:sz w:val="28"/>
          <w:szCs w:val="28"/>
          <w:lang w:val="zh-CN"/>
        </w:rPr>
        <w:t>年度机关运行经费支出</w:t>
      </w:r>
      <w:r>
        <w:rPr>
          <w:rFonts w:ascii="宋体" w:hAnsi="宋体" w:eastAsia="宋体"/>
          <w:color w:val="auto"/>
          <w:sz w:val="28"/>
          <w:szCs w:val="28"/>
        </w:rPr>
        <w:t>8.81</w:t>
      </w:r>
      <w:r>
        <w:rPr>
          <w:rFonts w:hint="eastAsia" w:ascii="宋体" w:hAnsi="宋体" w:eastAsia="宋体"/>
          <w:color w:val="auto"/>
          <w:sz w:val="28"/>
          <w:szCs w:val="28"/>
          <w:lang w:val="zh-CN"/>
        </w:rPr>
        <w:t>万元，比年初预算数</w:t>
      </w:r>
      <w:r>
        <w:rPr>
          <w:rFonts w:ascii="宋体" w:hAnsi="宋体" w:eastAsia="宋体"/>
          <w:color w:val="auto"/>
          <w:sz w:val="28"/>
          <w:szCs w:val="28"/>
        </w:rPr>
        <w:t>25.96</w:t>
      </w:r>
      <w:r>
        <w:rPr>
          <w:rFonts w:hint="eastAsia" w:ascii="宋体" w:hAnsi="宋体" w:eastAsia="宋体"/>
          <w:color w:val="auto"/>
          <w:sz w:val="28"/>
          <w:szCs w:val="28"/>
        </w:rPr>
        <w:t>万元</w:t>
      </w:r>
      <w:r>
        <w:rPr>
          <w:rFonts w:hint="eastAsia" w:ascii="宋体" w:hAnsi="宋体" w:eastAsia="宋体"/>
          <w:color w:val="auto"/>
          <w:sz w:val="28"/>
          <w:szCs w:val="28"/>
          <w:lang w:val="zh-CN"/>
        </w:rPr>
        <w:t>减少</w:t>
      </w:r>
      <w:r>
        <w:rPr>
          <w:rFonts w:ascii="宋体" w:hAnsi="宋体" w:eastAsia="宋体"/>
          <w:color w:val="auto"/>
          <w:sz w:val="28"/>
          <w:szCs w:val="28"/>
        </w:rPr>
        <w:t>17.15</w:t>
      </w:r>
      <w:r>
        <w:rPr>
          <w:rFonts w:hint="eastAsia" w:ascii="宋体" w:hAnsi="宋体" w:eastAsia="宋体"/>
          <w:color w:val="auto"/>
          <w:sz w:val="28"/>
          <w:szCs w:val="28"/>
          <w:lang w:val="zh-CN"/>
        </w:rPr>
        <w:t>万元，降低</w:t>
      </w:r>
      <w:r>
        <w:rPr>
          <w:rFonts w:ascii="宋体" w:hAnsi="宋体" w:eastAsia="宋体"/>
          <w:color w:val="auto"/>
          <w:sz w:val="28"/>
          <w:szCs w:val="28"/>
        </w:rPr>
        <w:t>66</w:t>
      </w:r>
      <w:r>
        <w:rPr>
          <w:rFonts w:ascii="宋体" w:hAnsi="宋体" w:eastAsia="宋体"/>
          <w:color w:val="auto"/>
          <w:sz w:val="28"/>
          <w:szCs w:val="28"/>
          <w:lang w:val="zh-CN"/>
        </w:rPr>
        <w:t>%</w:t>
      </w:r>
      <w:r>
        <w:rPr>
          <w:rFonts w:hint="eastAsia" w:ascii="宋体" w:hAnsi="宋体" w:eastAsia="宋体"/>
          <w:color w:val="auto"/>
          <w:sz w:val="28"/>
          <w:szCs w:val="28"/>
          <w:lang w:val="zh-CN"/>
        </w:rPr>
        <w:t>。主要原因是：三公”经费减少、</w:t>
      </w:r>
      <w:r>
        <w:rPr>
          <w:rFonts w:hint="eastAsia" w:ascii="宋体" w:hAnsi="宋体" w:eastAsia="宋体"/>
          <w:color w:val="auto"/>
          <w:sz w:val="28"/>
          <w:szCs w:val="28"/>
        </w:rPr>
        <w:t>水电费减少</w:t>
      </w:r>
      <w:r>
        <w:rPr>
          <w:rFonts w:hint="eastAsia" w:ascii="宋体" w:hAnsi="宋体" w:eastAsia="宋体"/>
          <w:color w:val="auto"/>
          <w:sz w:val="28"/>
          <w:szCs w:val="28"/>
          <w:lang w:val="zh-CN"/>
        </w:rPr>
        <w:t>。</w:t>
      </w:r>
    </w:p>
    <w:p>
      <w:pPr>
        <w:pStyle w:val="14"/>
        <w:rPr>
          <w:rFonts w:hAnsi="黑体"/>
          <w:b/>
          <w:color w:val="auto"/>
          <w:sz w:val="28"/>
          <w:szCs w:val="28"/>
        </w:rPr>
      </w:pPr>
      <w:r>
        <w:rPr>
          <w:rFonts w:hint="eastAsia" w:hAnsi="黑体"/>
          <w:b/>
          <w:color w:val="auto"/>
          <w:sz w:val="28"/>
          <w:szCs w:val="28"/>
        </w:rPr>
        <w:t>十一、一般性支出情况</w:t>
      </w:r>
    </w:p>
    <w:p>
      <w:pPr>
        <w:pStyle w:val="14"/>
        <w:ind w:firstLine="554" w:firstLineChars="200"/>
        <w:rPr>
          <w:rFonts w:ascii="宋体" w:hAnsi="宋体" w:eastAsia="宋体"/>
          <w:color w:val="auto"/>
          <w:sz w:val="28"/>
          <w:szCs w:val="28"/>
          <w:lang w:val="zh-CN"/>
        </w:rPr>
      </w:pPr>
      <w:r>
        <w:rPr>
          <w:rFonts w:ascii="宋体" w:hAnsi="宋体" w:eastAsia="宋体"/>
          <w:color w:val="auto"/>
          <w:sz w:val="28"/>
          <w:szCs w:val="28"/>
        </w:rPr>
        <w:t>2020</w:t>
      </w:r>
      <w:r>
        <w:rPr>
          <w:rFonts w:hint="eastAsia" w:ascii="宋体" w:hAnsi="宋体" w:eastAsia="宋体"/>
          <w:color w:val="auto"/>
          <w:sz w:val="28"/>
          <w:szCs w:val="28"/>
        </w:rPr>
        <w:t>年本部门开支会议费</w:t>
      </w:r>
      <w:r>
        <w:rPr>
          <w:rFonts w:ascii="宋体" w:hAnsi="宋体" w:eastAsia="宋体"/>
          <w:color w:val="auto"/>
          <w:sz w:val="28"/>
          <w:szCs w:val="28"/>
        </w:rPr>
        <w:t>0</w:t>
      </w:r>
      <w:r>
        <w:rPr>
          <w:rFonts w:hint="eastAsia" w:ascii="宋体" w:hAnsi="宋体" w:eastAsia="宋体"/>
          <w:color w:val="auto"/>
          <w:sz w:val="28"/>
          <w:szCs w:val="28"/>
        </w:rPr>
        <w:t>万元；</w:t>
      </w:r>
      <w:r>
        <w:rPr>
          <w:rFonts w:hint="eastAsia" w:ascii="宋体" w:hAnsi="宋体" w:eastAsia="宋体"/>
          <w:color w:val="auto"/>
          <w:sz w:val="28"/>
          <w:szCs w:val="28"/>
          <w:lang w:val="zh-CN"/>
        </w:rPr>
        <w:t>举办食品安全知识培训、参加党校培训，开支培训费</w:t>
      </w:r>
      <w:r>
        <w:rPr>
          <w:rFonts w:ascii="宋体" w:hAnsi="宋体" w:eastAsia="宋体"/>
          <w:color w:val="auto"/>
          <w:sz w:val="28"/>
          <w:szCs w:val="28"/>
          <w:lang w:val="zh-CN"/>
        </w:rPr>
        <w:t>2.05</w:t>
      </w:r>
      <w:r>
        <w:rPr>
          <w:rFonts w:hint="eastAsia" w:ascii="宋体" w:hAnsi="宋体" w:eastAsia="宋体"/>
          <w:color w:val="auto"/>
          <w:sz w:val="28"/>
          <w:szCs w:val="28"/>
          <w:lang w:val="zh-CN"/>
        </w:rPr>
        <w:t>万元，主要是用于开展食品安全知识、党校培训，人数</w:t>
      </w:r>
      <w:r>
        <w:rPr>
          <w:rFonts w:ascii="宋体" w:hAnsi="宋体" w:eastAsia="宋体"/>
          <w:color w:val="auto"/>
          <w:sz w:val="28"/>
          <w:szCs w:val="28"/>
          <w:lang w:val="zh-CN"/>
        </w:rPr>
        <w:t>306</w:t>
      </w:r>
      <w:r>
        <w:rPr>
          <w:rFonts w:hint="eastAsia" w:ascii="宋体" w:hAnsi="宋体" w:eastAsia="宋体"/>
          <w:color w:val="auto"/>
          <w:sz w:val="28"/>
          <w:szCs w:val="28"/>
          <w:lang w:val="zh-CN"/>
        </w:rPr>
        <w:t>人，内容为开展食品经营户、学校和企业单位食堂的从业人员及负责人的培训、党校培训。全年无节庆、晚会、论坛、赛事活动。</w:t>
      </w:r>
    </w:p>
    <w:p>
      <w:pPr>
        <w:pStyle w:val="14"/>
        <w:rPr>
          <w:rFonts w:hAnsi="黑体"/>
          <w:b/>
          <w:color w:val="auto"/>
          <w:sz w:val="28"/>
          <w:szCs w:val="28"/>
        </w:rPr>
      </w:pPr>
      <w:r>
        <w:rPr>
          <w:rFonts w:hint="eastAsia" w:hAnsi="黑体"/>
          <w:b/>
          <w:color w:val="auto"/>
          <w:sz w:val="28"/>
          <w:szCs w:val="28"/>
        </w:rPr>
        <w:t>十二、关于政府采购支出说明</w:t>
      </w:r>
    </w:p>
    <w:p>
      <w:pPr>
        <w:pStyle w:val="14"/>
        <w:ind w:firstLine="554" w:firstLineChars="200"/>
        <w:rPr>
          <w:rFonts w:hint="default" w:ascii="宋体" w:hAnsi="宋体" w:eastAsia="宋体"/>
          <w:color w:val="auto"/>
          <w:sz w:val="28"/>
          <w:szCs w:val="28"/>
          <w:lang w:val="en-US" w:eastAsia="zh-CN"/>
        </w:rPr>
      </w:pPr>
      <w:r>
        <w:rPr>
          <w:rFonts w:hint="eastAsia" w:ascii="宋体" w:hAnsi="宋体" w:eastAsia="宋体"/>
          <w:color w:val="auto"/>
          <w:sz w:val="28"/>
          <w:szCs w:val="28"/>
        </w:rPr>
        <w:t>本部门</w:t>
      </w:r>
      <w:r>
        <w:rPr>
          <w:rFonts w:ascii="宋体" w:hAnsi="宋体" w:eastAsia="宋体"/>
          <w:color w:val="auto"/>
          <w:sz w:val="28"/>
          <w:szCs w:val="28"/>
        </w:rPr>
        <w:t>2020</w:t>
      </w:r>
      <w:r>
        <w:rPr>
          <w:rFonts w:hint="eastAsia" w:ascii="宋体" w:hAnsi="宋体" w:eastAsia="宋体"/>
          <w:color w:val="auto"/>
          <w:sz w:val="28"/>
          <w:szCs w:val="28"/>
        </w:rPr>
        <w:t>年度政府采购支出总额</w:t>
      </w:r>
      <w:r>
        <w:rPr>
          <w:rFonts w:ascii="宋体" w:hAnsi="宋体" w:eastAsia="宋体"/>
          <w:color w:val="auto"/>
          <w:sz w:val="28"/>
          <w:szCs w:val="28"/>
        </w:rPr>
        <w:t>2.23</w:t>
      </w:r>
      <w:r>
        <w:rPr>
          <w:rFonts w:hint="eastAsia" w:ascii="宋体" w:hAnsi="宋体" w:eastAsia="宋体"/>
          <w:color w:val="auto"/>
          <w:sz w:val="28"/>
          <w:szCs w:val="28"/>
        </w:rPr>
        <w:t>万元，其中：政府采购货物支出</w:t>
      </w:r>
      <w:r>
        <w:rPr>
          <w:rFonts w:ascii="宋体" w:hAnsi="宋体" w:eastAsia="宋体"/>
          <w:color w:val="auto"/>
          <w:sz w:val="28"/>
          <w:szCs w:val="28"/>
        </w:rPr>
        <w:t>1.11</w:t>
      </w:r>
      <w:r>
        <w:rPr>
          <w:rFonts w:hint="eastAsia" w:ascii="宋体" w:hAnsi="宋体" w:eastAsia="宋体"/>
          <w:color w:val="auto"/>
          <w:sz w:val="28"/>
          <w:szCs w:val="28"/>
        </w:rPr>
        <w:t>万元、政府采购服务</w:t>
      </w:r>
      <w:bookmarkStart w:id="3" w:name="_GoBack"/>
      <w:r>
        <w:rPr>
          <w:rFonts w:hint="eastAsia" w:ascii="宋体" w:hAnsi="宋体" w:eastAsia="宋体"/>
          <w:color w:val="auto"/>
          <w:sz w:val="28"/>
          <w:szCs w:val="28"/>
        </w:rPr>
        <w:t>支出</w:t>
      </w:r>
      <w:r>
        <w:rPr>
          <w:rFonts w:ascii="宋体" w:hAnsi="宋体" w:eastAsia="宋体"/>
          <w:color w:val="auto"/>
          <w:sz w:val="28"/>
          <w:szCs w:val="28"/>
        </w:rPr>
        <w:t>1.12</w:t>
      </w:r>
      <w:r>
        <w:rPr>
          <w:rFonts w:hint="eastAsia" w:ascii="宋体" w:hAnsi="宋体" w:eastAsia="宋体"/>
          <w:color w:val="auto"/>
          <w:sz w:val="28"/>
          <w:szCs w:val="28"/>
        </w:rPr>
        <w:t>万元。授予中小企业合同金额</w:t>
      </w:r>
      <w:r>
        <w:rPr>
          <w:rFonts w:ascii="宋体" w:hAnsi="宋体" w:eastAsia="宋体"/>
          <w:color w:val="auto"/>
          <w:sz w:val="28"/>
          <w:szCs w:val="28"/>
        </w:rPr>
        <w:t>2.23</w:t>
      </w:r>
      <w:r>
        <w:rPr>
          <w:rFonts w:hint="eastAsia" w:ascii="宋体" w:hAnsi="宋体" w:eastAsia="宋体"/>
          <w:color w:val="auto"/>
          <w:sz w:val="28"/>
          <w:szCs w:val="28"/>
        </w:rPr>
        <w:t>万元，占政府采购支出总额的</w:t>
      </w:r>
      <w:bookmarkEnd w:id="3"/>
      <w:r>
        <w:rPr>
          <w:rFonts w:ascii="宋体" w:hAnsi="宋体" w:eastAsia="宋体"/>
          <w:color w:val="auto"/>
          <w:sz w:val="28"/>
          <w:szCs w:val="28"/>
        </w:rPr>
        <w:t>100%</w:t>
      </w:r>
      <w:r>
        <w:rPr>
          <w:rFonts w:hint="eastAsia" w:ascii="宋体" w:hAnsi="宋体" w:eastAsia="宋体"/>
          <w:color w:val="auto"/>
          <w:sz w:val="28"/>
          <w:szCs w:val="28"/>
          <w:lang w:eastAsia="zh-CN"/>
        </w:rPr>
        <w:t>，授予小微企业</w:t>
      </w:r>
      <w:r>
        <w:rPr>
          <w:rFonts w:hint="eastAsia" w:ascii="宋体" w:hAnsi="宋体" w:eastAsia="宋体"/>
          <w:color w:val="auto"/>
          <w:sz w:val="28"/>
          <w:szCs w:val="28"/>
          <w:lang w:val="en-US" w:eastAsia="zh-CN"/>
        </w:rPr>
        <w:t>0万元，占政府采购支出总额的0%。</w:t>
      </w:r>
    </w:p>
    <w:p>
      <w:pPr>
        <w:pStyle w:val="14"/>
        <w:rPr>
          <w:rFonts w:hAnsi="黑体"/>
          <w:b/>
          <w:color w:val="auto"/>
          <w:sz w:val="32"/>
          <w:szCs w:val="32"/>
        </w:rPr>
      </w:pPr>
      <w:r>
        <w:rPr>
          <w:rFonts w:hint="eastAsia" w:hAnsi="黑体"/>
          <w:b/>
          <w:color w:val="auto"/>
          <w:sz w:val="32"/>
          <w:szCs w:val="32"/>
        </w:rPr>
        <w:t>十三、关于国有资产占用情况说明</w:t>
      </w:r>
    </w:p>
    <w:p>
      <w:pPr>
        <w:pStyle w:val="14"/>
        <w:ind w:firstLine="554" w:firstLineChars="200"/>
        <w:rPr>
          <w:rFonts w:ascii="宋体" w:hAnsi="宋体" w:eastAsia="宋体"/>
          <w:color w:val="auto"/>
          <w:sz w:val="28"/>
          <w:szCs w:val="28"/>
        </w:rPr>
      </w:pPr>
      <w:r>
        <w:rPr>
          <w:rFonts w:hint="eastAsia" w:ascii="宋体" w:hAnsi="宋体" w:eastAsia="宋体"/>
          <w:color w:val="auto"/>
          <w:sz w:val="28"/>
          <w:szCs w:val="28"/>
        </w:rPr>
        <w:t>截至</w:t>
      </w:r>
      <w:r>
        <w:rPr>
          <w:rFonts w:ascii="宋体" w:hAnsi="宋体" w:eastAsia="宋体"/>
          <w:color w:val="auto"/>
          <w:sz w:val="28"/>
          <w:szCs w:val="28"/>
        </w:rPr>
        <w:t>2020</w:t>
      </w:r>
      <w:r>
        <w:rPr>
          <w:rFonts w:hint="eastAsia" w:ascii="宋体" w:hAnsi="宋体" w:eastAsia="宋体"/>
          <w:color w:val="auto"/>
          <w:sz w:val="28"/>
          <w:szCs w:val="28"/>
        </w:rPr>
        <w:t>年</w:t>
      </w:r>
      <w:r>
        <w:rPr>
          <w:rFonts w:ascii="宋体" w:hAnsi="宋体" w:eastAsia="宋体"/>
          <w:color w:val="auto"/>
          <w:sz w:val="28"/>
          <w:szCs w:val="28"/>
        </w:rPr>
        <w:t>12</w:t>
      </w:r>
      <w:r>
        <w:rPr>
          <w:rFonts w:hint="eastAsia" w:ascii="宋体" w:hAnsi="宋体" w:eastAsia="宋体"/>
          <w:color w:val="auto"/>
          <w:sz w:val="28"/>
          <w:szCs w:val="28"/>
        </w:rPr>
        <w:t>月</w:t>
      </w:r>
      <w:r>
        <w:rPr>
          <w:rFonts w:ascii="宋体" w:hAnsi="宋体" w:eastAsia="宋体"/>
          <w:color w:val="auto"/>
          <w:sz w:val="28"/>
          <w:szCs w:val="28"/>
        </w:rPr>
        <w:t>31</w:t>
      </w:r>
      <w:r>
        <w:rPr>
          <w:rFonts w:hint="eastAsia" w:ascii="宋体" w:hAnsi="宋体" w:eastAsia="宋体"/>
          <w:color w:val="auto"/>
          <w:sz w:val="28"/>
          <w:szCs w:val="28"/>
        </w:rPr>
        <w:t>日，本单位共有车辆</w:t>
      </w:r>
      <w:r>
        <w:rPr>
          <w:rFonts w:ascii="宋体" w:hAnsi="宋体" w:eastAsia="宋体"/>
          <w:color w:val="auto"/>
          <w:sz w:val="28"/>
          <w:szCs w:val="28"/>
        </w:rPr>
        <w:t>2</w:t>
      </w:r>
      <w:r>
        <w:rPr>
          <w:rFonts w:hint="eastAsia" w:ascii="宋体" w:hAnsi="宋体" w:eastAsia="宋体"/>
          <w:color w:val="auto"/>
          <w:sz w:val="28"/>
          <w:szCs w:val="28"/>
        </w:rPr>
        <w:t>辆，其中，公务用车</w:t>
      </w:r>
      <w:r>
        <w:rPr>
          <w:rFonts w:ascii="宋体" w:hAnsi="宋体" w:eastAsia="宋体"/>
          <w:color w:val="auto"/>
          <w:sz w:val="28"/>
          <w:szCs w:val="28"/>
        </w:rPr>
        <w:t>1</w:t>
      </w:r>
      <w:r>
        <w:rPr>
          <w:rFonts w:hint="eastAsia" w:ascii="宋体" w:hAnsi="宋体" w:eastAsia="宋体"/>
          <w:color w:val="auto"/>
          <w:sz w:val="28"/>
          <w:szCs w:val="28"/>
        </w:rPr>
        <w:t>辆、执法执勤用车</w:t>
      </w:r>
      <w:r>
        <w:rPr>
          <w:rFonts w:ascii="宋体" w:hAnsi="宋体" w:eastAsia="宋体"/>
          <w:color w:val="auto"/>
          <w:sz w:val="28"/>
          <w:szCs w:val="28"/>
        </w:rPr>
        <w:t>1</w:t>
      </w:r>
      <w:r>
        <w:rPr>
          <w:rFonts w:hint="eastAsia" w:ascii="宋体" w:hAnsi="宋体" w:eastAsia="宋体"/>
          <w:color w:val="auto"/>
          <w:sz w:val="28"/>
          <w:szCs w:val="28"/>
        </w:rPr>
        <w:t>辆。</w:t>
      </w:r>
    </w:p>
    <w:p>
      <w:pPr>
        <w:pStyle w:val="14"/>
        <w:numPr>
          <w:ilvl w:val="0"/>
          <w:numId w:val="2"/>
        </w:numPr>
        <w:rPr>
          <w:rFonts w:hAnsi="黑体"/>
          <w:b/>
          <w:color w:val="auto"/>
          <w:sz w:val="32"/>
          <w:szCs w:val="32"/>
        </w:rPr>
      </w:pPr>
      <w:r>
        <w:rPr>
          <w:rFonts w:hint="eastAsia" w:hAnsi="黑体"/>
          <w:b/>
          <w:color w:val="auto"/>
          <w:sz w:val="32"/>
          <w:szCs w:val="32"/>
        </w:rPr>
        <w:t>关于</w:t>
      </w:r>
      <w:r>
        <w:rPr>
          <w:rFonts w:hAnsi="黑体"/>
          <w:b/>
          <w:color w:val="auto"/>
          <w:sz w:val="32"/>
          <w:szCs w:val="32"/>
        </w:rPr>
        <w:t>2020</w:t>
      </w:r>
      <w:r>
        <w:rPr>
          <w:rFonts w:hint="eastAsia" w:hAnsi="黑体"/>
          <w:b/>
          <w:color w:val="auto"/>
          <w:sz w:val="32"/>
          <w:szCs w:val="32"/>
        </w:rPr>
        <w:t>年度预算绩效情况的说明</w:t>
      </w:r>
    </w:p>
    <w:p>
      <w:pPr>
        <w:pStyle w:val="14"/>
        <w:ind w:firstLine="554" w:firstLineChars="200"/>
        <w:rPr>
          <w:rFonts w:ascii="宋体" w:hAnsi="宋体" w:eastAsia="宋体"/>
          <w:color w:val="auto"/>
          <w:sz w:val="28"/>
          <w:szCs w:val="28"/>
        </w:rPr>
      </w:pPr>
      <w:r>
        <w:rPr>
          <w:rFonts w:hint="eastAsia" w:ascii="宋体" w:hAnsi="宋体" w:eastAsia="宋体"/>
          <w:color w:val="auto"/>
          <w:sz w:val="28"/>
          <w:szCs w:val="28"/>
        </w:rPr>
        <w:t>本单位预算绩效管理开展情况、绩效目标和绩效评价报告等由市局汇总统一按照财政绩效部门要求已公开，</w:t>
      </w:r>
      <w:r>
        <w:rPr>
          <w:rFonts w:ascii="宋体" w:hAnsi="宋体" w:eastAsia="宋体"/>
          <w:color w:val="auto"/>
          <w:sz w:val="28"/>
          <w:szCs w:val="28"/>
        </w:rPr>
        <w:t>2020</w:t>
      </w:r>
      <w:r>
        <w:rPr>
          <w:rFonts w:hint="eastAsia" w:ascii="宋体" w:hAnsi="宋体" w:eastAsia="宋体"/>
          <w:color w:val="auto"/>
          <w:sz w:val="28"/>
          <w:szCs w:val="28"/>
        </w:rPr>
        <w:t>年度部门整体支出绩效评价报告见附件。</w:t>
      </w:r>
    </w:p>
    <w:p>
      <w:pPr>
        <w:pStyle w:val="14"/>
        <w:rPr>
          <w:rFonts w:hAnsi="黑体"/>
          <w:b/>
          <w:color w:val="auto"/>
          <w:sz w:val="32"/>
          <w:szCs w:val="32"/>
        </w:rPr>
      </w:pPr>
    </w:p>
    <w:p>
      <w:pPr>
        <w:pStyle w:val="14"/>
        <w:jc w:val="center"/>
        <w:rPr>
          <w:color w:val="auto"/>
          <w:sz w:val="72"/>
          <w:szCs w:val="72"/>
        </w:rPr>
      </w:pPr>
    </w:p>
    <w:p>
      <w:pPr>
        <w:pStyle w:val="14"/>
        <w:jc w:val="center"/>
        <w:rPr>
          <w:color w:val="auto"/>
          <w:sz w:val="72"/>
          <w:szCs w:val="72"/>
        </w:rPr>
      </w:pPr>
    </w:p>
    <w:p>
      <w:pPr>
        <w:pStyle w:val="14"/>
        <w:jc w:val="center"/>
        <w:rPr>
          <w:color w:val="auto"/>
          <w:sz w:val="44"/>
          <w:szCs w:val="44"/>
        </w:rPr>
      </w:pPr>
    </w:p>
    <w:p>
      <w:pPr>
        <w:pStyle w:val="14"/>
        <w:jc w:val="center"/>
        <w:rPr>
          <w:color w:val="auto"/>
          <w:sz w:val="44"/>
          <w:szCs w:val="44"/>
        </w:rPr>
      </w:pPr>
    </w:p>
    <w:p>
      <w:pPr>
        <w:pStyle w:val="14"/>
        <w:jc w:val="center"/>
        <w:rPr>
          <w:color w:val="auto"/>
          <w:sz w:val="44"/>
          <w:szCs w:val="44"/>
        </w:rPr>
      </w:pPr>
    </w:p>
    <w:p>
      <w:pPr>
        <w:pStyle w:val="14"/>
        <w:jc w:val="center"/>
        <w:rPr>
          <w:color w:val="auto"/>
          <w:sz w:val="44"/>
          <w:szCs w:val="44"/>
        </w:rPr>
      </w:pPr>
    </w:p>
    <w:p>
      <w:pPr>
        <w:pStyle w:val="14"/>
        <w:jc w:val="center"/>
        <w:rPr>
          <w:color w:val="auto"/>
          <w:sz w:val="44"/>
          <w:szCs w:val="44"/>
        </w:rPr>
      </w:pPr>
    </w:p>
    <w:p>
      <w:pPr>
        <w:pStyle w:val="14"/>
        <w:jc w:val="center"/>
        <w:rPr>
          <w:color w:val="auto"/>
          <w:sz w:val="44"/>
          <w:szCs w:val="44"/>
        </w:rPr>
      </w:pPr>
      <w:r>
        <w:rPr>
          <w:rFonts w:hint="eastAsia"/>
          <w:color w:val="auto"/>
          <w:sz w:val="44"/>
          <w:szCs w:val="44"/>
        </w:rPr>
        <w:t>第四部分</w:t>
      </w:r>
    </w:p>
    <w:p>
      <w:pPr>
        <w:jc w:val="center"/>
        <w:rPr>
          <w:rFonts w:ascii="黑体" w:eastAsia="黑体" w:cs="黑体"/>
          <w:color w:val="auto"/>
          <w:kern w:val="0"/>
          <w:sz w:val="44"/>
          <w:szCs w:val="44"/>
        </w:rPr>
      </w:pPr>
    </w:p>
    <w:p>
      <w:pPr>
        <w:jc w:val="center"/>
        <w:rPr>
          <w:rFonts w:ascii="黑体" w:eastAsia="黑体" w:cs="黑体"/>
          <w:color w:val="auto"/>
          <w:kern w:val="0"/>
          <w:sz w:val="44"/>
          <w:szCs w:val="44"/>
        </w:rPr>
      </w:pPr>
      <w:r>
        <w:rPr>
          <w:rFonts w:hint="eastAsia" w:ascii="黑体" w:eastAsia="黑体" w:cs="黑体"/>
          <w:color w:val="auto"/>
          <w:kern w:val="0"/>
          <w:sz w:val="44"/>
          <w:szCs w:val="44"/>
        </w:rPr>
        <w:t>名词解释</w:t>
      </w:r>
    </w:p>
    <w:p>
      <w:pPr>
        <w:widowControl/>
        <w:jc w:val="left"/>
        <w:rPr>
          <w:rFonts w:ascii="黑体" w:eastAsia="黑体" w:cs="黑体"/>
          <w:color w:val="auto"/>
          <w:kern w:val="0"/>
          <w:sz w:val="70"/>
          <w:szCs w:val="70"/>
        </w:rPr>
      </w:pPr>
      <w:r>
        <w:rPr>
          <w:rFonts w:ascii="黑体" w:eastAsia="黑体" w:cs="黑体"/>
          <w:color w:val="auto"/>
          <w:kern w:val="0"/>
          <w:sz w:val="70"/>
          <w:szCs w:val="70"/>
        </w:rPr>
        <w:br w:type="page"/>
      </w:r>
    </w:p>
    <w:p>
      <w:pPr>
        <w:ind w:firstLine="634" w:firstLineChars="200"/>
        <w:jc w:val="left"/>
        <w:rPr>
          <w:rFonts w:ascii="宋体" w:cs="黑体"/>
          <w:color w:val="auto"/>
          <w:kern w:val="0"/>
          <w:sz w:val="32"/>
          <w:szCs w:val="32"/>
        </w:rPr>
      </w:pPr>
    </w:p>
    <w:p>
      <w:pPr>
        <w:pStyle w:val="6"/>
        <w:shd w:val="clear" w:color="auto" w:fill="FFFFFF"/>
        <w:spacing w:before="0" w:beforeAutospacing="0" w:after="0" w:afterAutospacing="0"/>
        <w:jc w:val="both"/>
        <w:textAlignment w:val="center"/>
        <w:rPr>
          <w:rFonts w:ascii="宋体" w:cs="黑体"/>
          <w:color w:val="auto"/>
          <w:sz w:val="28"/>
          <w:szCs w:val="28"/>
        </w:rPr>
      </w:pPr>
      <w:r>
        <w:rPr>
          <w:rFonts w:hint="eastAsia" w:ascii="宋体" w:cs="黑体"/>
          <w:color w:val="auto"/>
          <w:sz w:val="28"/>
          <w:szCs w:val="28"/>
        </w:rPr>
        <w:t>一、财政拨款收入：是指市级财政当年拨付的资金。</w:t>
      </w:r>
    </w:p>
    <w:p>
      <w:pPr>
        <w:pStyle w:val="6"/>
        <w:shd w:val="clear" w:color="auto" w:fill="FFFFFF"/>
        <w:spacing w:before="0" w:beforeAutospacing="0" w:after="0" w:afterAutospacing="0"/>
        <w:jc w:val="both"/>
        <w:textAlignment w:val="center"/>
        <w:rPr>
          <w:rFonts w:ascii="宋体" w:cs="黑体"/>
          <w:color w:val="auto"/>
          <w:sz w:val="28"/>
          <w:szCs w:val="28"/>
        </w:rPr>
      </w:pPr>
      <w:r>
        <w:rPr>
          <w:rFonts w:hint="eastAsia" w:ascii="宋体" w:cs="黑体"/>
          <w:color w:val="auto"/>
          <w:sz w:val="28"/>
          <w:szCs w:val="28"/>
        </w:rPr>
        <w:t>二、年初结转和结余：是指以前年度支出预算因客观条件变化未执行完毕、结转到本年度按有关规定继续使用的资金。</w:t>
      </w:r>
    </w:p>
    <w:p>
      <w:pPr>
        <w:pStyle w:val="6"/>
        <w:shd w:val="clear" w:color="auto" w:fill="FFFFFF"/>
        <w:spacing w:before="0" w:beforeAutospacing="0" w:after="0" w:afterAutospacing="0"/>
        <w:jc w:val="both"/>
        <w:textAlignment w:val="center"/>
        <w:rPr>
          <w:rFonts w:ascii="宋体" w:cs="黑体"/>
          <w:color w:val="auto"/>
          <w:sz w:val="28"/>
          <w:szCs w:val="28"/>
        </w:rPr>
      </w:pPr>
      <w:r>
        <w:rPr>
          <w:rFonts w:hint="eastAsia" w:ascii="宋体" w:cs="黑体"/>
          <w:color w:val="auto"/>
          <w:sz w:val="28"/>
          <w:szCs w:val="28"/>
        </w:rPr>
        <w:t>三、基本支出：是指为保障机构正常运转、完成日常工作任务所必需的开支，其内容包括人员经费和日常公用经费两部分。</w:t>
      </w:r>
    </w:p>
    <w:p>
      <w:pPr>
        <w:pStyle w:val="6"/>
        <w:shd w:val="clear" w:color="auto" w:fill="FFFFFF"/>
        <w:spacing w:before="0" w:beforeAutospacing="0" w:after="0" w:afterAutospacing="0"/>
        <w:jc w:val="both"/>
        <w:textAlignment w:val="center"/>
        <w:rPr>
          <w:rFonts w:ascii="宋体" w:cs="黑体"/>
          <w:color w:val="auto"/>
          <w:sz w:val="28"/>
          <w:szCs w:val="28"/>
        </w:rPr>
      </w:pPr>
      <w:r>
        <w:rPr>
          <w:rFonts w:hint="eastAsia" w:ascii="宋体" w:cs="黑体"/>
          <w:color w:val="auto"/>
          <w:sz w:val="28"/>
          <w:szCs w:val="28"/>
        </w:rPr>
        <w:t>四、项目支出：是指在基本支出之外，为完成特定的行政工作任务或事业发展目标所发生的支出。</w:t>
      </w:r>
    </w:p>
    <w:p>
      <w:pPr>
        <w:pStyle w:val="6"/>
        <w:shd w:val="clear" w:color="auto" w:fill="FFFFFF"/>
        <w:spacing w:before="0" w:beforeAutospacing="0" w:after="0" w:afterAutospacing="0"/>
        <w:jc w:val="both"/>
        <w:textAlignment w:val="center"/>
        <w:rPr>
          <w:rFonts w:ascii="宋体" w:cs="黑体"/>
          <w:color w:val="auto"/>
          <w:sz w:val="28"/>
          <w:szCs w:val="28"/>
        </w:rPr>
      </w:pPr>
      <w:r>
        <w:rPr>
          <w:rFonts w:hint="eastAsia" w:ascii="宋体" w:cs="黑体"/>
          <w:color w:val="auto"/>
          <w:sz w:val="28"/>
          <w:szCs w:val="28"/>
        </w:rPr>
        <w:t>五、一般公共服务（类）：是指用于保障机构正常运行、开展业务等活动的支出。行政运行（项）：是指为保障市委政法委各行政机构正常运转、完成日常工作任务安排的支出。</w:t>
      </w:r>
    </w:p>
    <w:p>
      <w:pPr>
        <w:pStyle w:val="6"/>
        <w:shd w:val="clear" w:color="auto" w:fill="FFFFFF"/>
        <w:spacing w:before="0" w:beforeAutospacing="0" w:after="0" w:afterAutospacing="0"/>
        <w:jc w:val="both"/>
        <w:textAlignment w:val="center"/>
        <w:rPr>
          <w:rFonts w:ascii="宋体" w:cs="黑体"/>
          <w:color w:val="auto"/>
          <w:sz w:val="28"/>
          <w:szCs w:val="28"/>
        </w:rPr>
      </w:pPr>
      <w:r>
        <w:rPr>
          <w:rFonts w:hint="eastAsia" w:ascii="宋体" w:cs="黑体"/>
          <w:color w:val="auto"/>
          <w:sz w:val="28"/>
          <w:szCs w:val="28"/>
        </w:rPr>
        <w:t>六、“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6"/>
        <w:shd w:val="clear" w:color="auto" w:fill="FFFFFF"/>
        <w:spacing w:before="0" w:beforeAutospacing="0" w:after="0" w:afterAutospacing="0"/>
        <w:jc w:val="both"/>
        <w:textAlignment w:val="center"/>
        <w:rPr>
          <w:rFonts w:ascii="宋体" w:cs="黑体"/>
          <w:color w:val="auto"/>
          <w:sz w:val="28"/>
          <w:szCs w:val="28"/>
        </w:rPr>
      </w:pPr>
      <w:r>
        <w:rPr>
          <w:rFonts w:hint="eastAsia" w:ascii="宋体" w:cs="黑体"/>
          <w:color w:val="auto"/>
          <w:sz w:val="28"/>
          <w:szCs w:val="28"/>
        </w:rPr>
        <w:t>七、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pStyle w:val="6"/>
        <w:shd w:val="clear" w:color="auto" w:fill="FFFFFF"/>
        <w:spacing w:before="0" w:beforeAutospacing="0" w:after="0" w:afterAutospacing="0"/>
        <w:jc w:val="center"/>
        <w:textAlignment w:val="center"/>
        <w:rPr>
          <w:rFonts w:ascii="宋体" w:cs="黑体"/>
          <w:color w:val="auto"/>
          <w:sz w:val="28"/>
          <w:szCs w:val="28"/>
        </w:rPr>
      </w:pPr>
      <w:r>
        <w:rPr>
          <w:rFonts w:ascii="宋体" w:cs="黑体"/>
          <w:color w:val="auto"/>
          <w:sz w:val="28"/>
          <w:szCs w:val="28"/>
        </w:rPr>
        <w:t> </w:t>
      </w:r>
    </w:p>
    <w:p>
      <w:pPr>
        <w:pStyle w:val="14"/>
        <w:jc w:val="center"/>
        <w:rPr>
          <w:rFonts w:ascii="宋体" w:hAnsi="宋体" w:eastAsia="宋体"/>
          <w:color w:val="auto"/>
          <w:sz w:val="28"/>
          <w:szCs w:val="28"/>
        </w:rPr>
      </w:pPr>
    </w:p>
    <w:p>
      <w:pPr>
        <w:pStyle w:val="14"/>
        <w:jc w:val="center"/>
        <w:rPr>
          <w:color w:val="auto"/>
          <w:sz w:val="72"/>
          <w:szCs w:val="72"/>
        </w:rPr>
      </w:pPr>
    </w:p>
    <w:p>
      <w:pPr>
        <w:pStyle w:val="14"/>
        <w:jc w:val="center"/>
        <w:rPr>
          <w:color w:val="auto"/>
          <w:sz w:val="72"/>
          <w:szCs w:val="72"/>
        </w:rPr>
      </w:pPr>
    </w:p>
    <w:p>
      <w:pPr>
        <w:pStyle w:val="14"/>
        <w:jc w:val="center"/>
        <w:rPr>
          <w:color w:val="auto"/>
          <w:sz w:val="72"/>
          <w:szCs w:val="72"/>
        </w:rPr>
      </w:pPr>
    </w:p>
    <w:p>
      <w:pPr>
        <w:pStyle w:val="14"/>
        <w:jc w:val="center"/>
        <w:rPr>
          <w:color w:val="auto"/>
          <w:sz w:val="44"/>
          <w:szCs w:val="44"/>
        </w:rPr>
      </w:pPr>
      <w:r>
        <w:rPr>
          <w:rFonts w:hint="eastAsia"/>
          <w:color w:val="auto"/>
          <w:sz w:val="44"/>
          <w:szCs w:val="44"/>
        </w:rPr>
        <w:t>第五部分</w:t>
      </w:r>
    </w:p>
    <w:p>
      <w:pPr>
        <w:jc w:val="center"/>
        <w:rPr>
          <w:rFonts w:ascii="黑体" w:eastAsia="黑体" w:cs="黑体"/>
          <w:color w:val="auto"/>
          <w:kern w:val="0"/>
          <w:sz w:val="44"/>
          <w:szCs w:val="44"/>
        </w:rPr>
      </w:pPr>
    </w:p>
    <w:p>
      <w:pPr>
        <w:jc w:val="center"/>
        <w:rPr>
          <w:rFonts w:ascii="黑体" w:eastAsia="黑体" w:cs="黑体"/>
          <w:color w:val="auto"/>
          <w:kern w:val="0"/>
          <w:sz w:val="44"/>
          <w:szCs w:val="44"/>
        </w:rPr>
      </w:pPr>
      <w:r>
        <w:rPr>
          <w:rFonts w:hint="eastAsia" w:ascii="黑体" w:eastAsia="黑体" w:cs="黑体"/>
          <w:color w:val="auto"/>
          <w:kern w:val="0"/>
          <w:sz w:val="44"/>
          <w:szCs w:val="44"/>
        </w:rPr>
        <w:t>附件</w:t>
      </w:r>
    </w:p>
    <w:p>
      <w:pPr>
        <w:rPr>
          <w:rFonts w:ascii="黑体" w:hAnsi="黑体" w:eastAsia="黑体" w:cs="黑体"/>
          <w:bCs/>
          <w:color w:val="auto"/>
          <w:sz w:val="32"/>
          <w:szCs w:val="32"/>
        </w:rPr>
      </w:pPr>
    </w:p>
    <w:p>
      <w:pPr>
        <w:rPr>
          <w:rFonts w:ascii="黑体" w:hAnsi="黑体" w:eastAsia="黑体" w:cs="黑体"/>
          <w:bCs/>
          <w:color w:val="auto"/>
          <w:sz w:val="32"/>
          <w:szCs w:val="32"/>
        </w:rPr>
      </w:pPr>
    </w:p>
    <w:p>
      <w:pPr>
        <w:rPr>
          <w:rFonts w:ascii="黑体" w:hAnsi="黑体" w:eastAsia="黑体" w:cs="黑体"/>
          <w:bCs/>
          <w:color w:val="auto"/>
          <w:sz w:val="32"/>
          <w:szCs w:val="32"/>
        </w:rPr>
      </w:pPr>
    </w:p>
    <w:p>
      <w:pPr>
        <w:rPr>
          <w:rFonts w:ascii="黑体" w:hAnsi="黑体" w:eastAsia="黑体" w:cs="黑体"/>
          <w:bCs/>
          <w:color w:val="auto"/>
          <w:sz w:val="32"/>
          <w:szCs w:val="32"/>
        </w:rPr>
      </w:pPr>
    </w:p>
    <w:p>
      <w:pPr>
        <w:rPr>
          <w:rFonts w:ascii="黑体" w:hAnsi="黑体" w:eastAsia="黑体" w:cs="黑体"/>
          <w:bCs/>
          <w:color w:val="auto"/>
          <w:sz w:val="32"/>
          <w:szCs w:val="32"/>
        </w:rPr>
      </w:pPr>
    </w:p>
    <w:p>
      <w:pPr>
        <w:rPr>
          <w:rFonts w:ascii="黑体" w:hAnsi="黑体" w:eastAsia="黑体" w:cs="黑体"/>
          <w:bCs/>
          <w:color w:val="auto"/>
          <w:sz w:val="32"/>
          <w:szCs w:val="32"/>
        </w:rPr>
      </w:pPr>
    </w:p>
    <w:p>
      <w:pPr>
        <w:rPr>
          <w:rFonts w:ascii="黑体" w:hAnsi="黑体" w:eastAsia="黑体" w:cs="黑体"/>
          <w:bCs/>
          <w:color w:val="auto"/>
          <w:sz w:val="32"/>
          <w:szCs w:val="32"/>
        </w:rPr>
      </w:pPr>
    </w:p>
    <w:p>
      <w:pPr>
        <w:rPr>
          <w:rFonts w:ascii="黑体" w:hAnsi="黑体" w:eastAsia="黑体" w:cs="黑体"/>
          <w:bCs/>
          <w:color w:val="auto"/>
          <w:sz w:val="32"/>
          <w:szCs w:val="32"/>
        </w:rPr>
      </w:pPr>
    </w:p>
    <w:p>
      <w:pPr>
        <w:rPr>
          <w:rFonts w:ascii="黑体" w:hAnsi="黑体" w:eastAsia="黑体" w:cs="黑体"/>
          <w:bCs/>
          <w:color w:val="auto"/>
          <w:sz w:val="32"/>
          <w:szCs w:val="32"/>
        </w:rPr>
      </w:pPr>
    </w:p>
    <w:p>
      <w:pPr>
        <w:rPr>
          <w:rFonts w:ascii="黑体" w:hAnsi="黑体" w:eastAsia="黑体" w:cs="黑体"/>
          <w:bCs/>
          <w:color w:val="auto"/>
          <w:sz w:val="32"/>
          <w:szCs w:val="32"/>
        </w:rPr>
      </w:pPr>
    </w:p>
    <w:p>
      <w:pPr>
        <w:rPr>
          <w:rFonts w:ascii="黑体" w:hAnsi="黑体" w:eastAsia="黑体" w:cs="黑体"/>
          <w:bCs/>
          <w:color w:val="auto"/>
          <w:sz w:val="32"/>
          <w:szCs w:val="32"/>
        </w:rPr>
      </w:pPr>
    </w:p>
    <w:p>
      <w:pPr>
        <w:rPr>
          <w:rFonts w:ascii="黑体" w:hAnsi="黑体" w:eastAsia="黑体" w:cs="黑体"/>
          <w:bCs/>
          <w:color w:val="auto"/>
          <w:sz w:val="32"/>
          <w:szCs w:val="32"/>
        </w:rPr>
      </w:pPr>
    </w:p>
    <w:p>
      <w:pPr>
        <w:rPr>
          <w:rFonts w:ascii="黑体" w:hAnsi="黑体" w:eastAsia="黑体" w:cs="黑体"/>
          <w:bCs/>
          <w:color w:val="auto"/>
          <w:sz w:val="32"/>
          <w:szCs w:val="32"/>
        </w:rPr>
      </w:pPr>
    </w:p>
    <w:p>
      <w:pPr>
        <w:rPr>
          <w:rFonts w:ascii="黑体" w:hAnsi="黑体" w:eastAsia="黑体" w:cs="黑体"/>
          <w:bCs/>
          <w:color w:val="auto"/>
          <w:sz w:val="32"/>
          <w:szCs w:val="32"/>
        </w:rPr>
      </w:pPr>
      <w:r>
        <w:rPr>
          <w:rFonts w:hint="eastAsia" w:ascii="黑体" w:hAnsi="黑体" w:eastAsia="黑体" w:cs="黑体"/>
          <w:bCs/>
          <w:color w:val="auto"/>
          <w:sz w:val="32"/>
          <w:szCs w:val="32"/>
        </w:rPr>
        <w:t>附件</w:t>
      </w:r>
      <w:r>
        <w:rPr>
          <w:rFonts w:ascii="黑体" w:hAnsi="黑体" w:eastAsia="黑体" w:cs="黑体"/>
          <w:bCs/>
          <w:color w:val="auto"/>
          <w:sz w:val="32"/>
          <w:szCs w:val="32"/>
        </w:rPr>
        <w:t>2-1</w:t>
      </w:r>
    </w:p>
    <w:p>
      <w:pPr>
        <w:spacing w:line="348" w:lineRule="auto"/>
        <w:jc w:val="center"/>
        <w:rPr>
          <w:rFonts w:eastAsia="方正小标宋简体"/>
          <w:bCs/>
          <w:color w:val="auto"/>
          <w:sz w:val="42"/>
          <w:szCs w:val="42"/>
        </w:rPr>
      </w:pPr>
    </w:p>
    <w:p>
      <w:pPr>
        <w:spacing w:line="800" w:lineRule="exact"/>
        <w:jc w:val="center"/>
        <w:rPr>
          <w:rFonts w:eastAsia="方正小标宋简体"/>
          <w:bCs/>
          <w:color w:val="auto"/>
          <w:sz w:val="46"/>
          <w:szCs w:val="46"/>
        </w:rPr>
      </w:pPr>
      <w:r>
        <w:rPr>
          <w:rFonts w:hint="eastAsia" w:eastAsia="方正小标宋简体"/>
          <w:bCs/>
          <w:color w:val="auto"/>
          <w:sz w:val="46"/>
          <w:szCs w:val="46"/>
        </w:rPr>
        <w:t>岳阳市</w:t>
      </w:r>
      <w:r>
        <w:rPr>
          <w:rFonts w:eastAsia="方正小标宋简体"/>
          <w:bCs/>
          <w:color w:val="auto"/>
          <w:sz w:val="46"/>
          <w:szCs w:val="46"/>
        </w:rPr>
        <w:t>2020</w:t>
      </w:r>
      <w:r>
        <w:rPr>
          <w:rFonts w:hint="eastAsia" w:eastAsia="方正小标宋简体"/>
          <w:bCs/>
          <w:color w:val="auto"/>
          <w:sz w:val="46"/>
          <w:szCs w:val="46"/>
        </w:rPr>
        <w:t>年度部门整体支出</w:t>
      </w:r>
    </w:p>
    <w:p>
      <w:pPr>
        <w:spacing w:line="800" w:lineRule="exact"/>
        <w:jc w:val="center"/>
        <w:rPr>
          <w:rFonts w:eastAsia="方正小标宋简体"/>
          <w:bCs/>
          <w:color w:val="auto"/>
          <w:sz w:val="46"/>
          <w:szCs w:val="46"/>
        </w:rPr>
      </w:pPr>
      <w:r>
        <w:rPr>
          <w:rFonts w:hint="eastAsia" w:eastAsia="方正小标宋简体"/>
          <w:bCs/>
          <w:color w:val="auto"/>
          <w:sz w:val="46"/>
          <w:szCs w:val="46"/>
        </w:rPr>
        <w:t>绩效评价自评报告</w:t>
      </w:r>
    </w:p>
    <w:p>
      <w:pPr>
        <w:rPr>
          <w:rFonts w:eastAsia="仿宋_GB2312"/>
          <w:b/>
          <w:color w:val="auto"/>
          <w:sz w:val="32"/>
        </w:rPr>
      </w:pPr>
    </w:p>
    <w:p>
      <w:pPr>
        <w:rPr>
          <w:rFonts w:eastAsia="仿宋_GB2312"/>
          <w:b/>
          <w:color w:val="auto"/>
          <w:sz w:val="32"/>
        </w:rPr>
      </w:pPr>
    </w:p>
    <w:p>
      <w:pPr>
        <w:rPr>
          <w:rFonts w:eastAsia="仿宋_GB2312"/>
          <w:b/>
          <w:color w:val="auto"/>
          <w:sz w:val="32"/>
        </w:rPr>
      </w:pPr>
    </w:p>
    <w:p>
      <w:pPr>
        <w:spacing w:beforeLines="50" w:line="348" w:lineRule="auto"/>
        <w:ind w:firstLine="476" w:firstLineChars="150"/>
        <w:rPr>
          <w:rFonts w:eastAsia="仿宋_GB2312"/>
          <w:color w:val="auto"/>
          <w:sz w:val="32"/>
          <w:szCs w:val="32"/>
          <w:u w:val="single"/>
        </w:rPr>
      </w:pPr>
      <w:r>
        <w:rPr>
          <w:rFonts w:hint="eastAsia" w:eastAsia="仿宋_GB2312"/>
          <w:color w:val="auto"/>
          <w:sz w:val="32"/>
          <w:szCs w:val="32"/>
        </w:rPr>
        <w:t>部门</w:t>
      </w:r>
      <w:r>
        <w:rPr>
          <w:rFonts w:eastAsia="仿宋_GB2312"/>
          <w:color w:val="auto"/>
          <w:sz w:val="32"/>
          <w:szCs w:val="32"/>
        </w:rPr>
        <w:t>(</w:t>
      </w:r>
      <w:r>
        <w:rPr>
          <w:rFonts w:hint="eastAsia" w:eastAsia="仿宋_GB2312"/>
          <w:color w:val="auto"/>
          <w:sz w:val="32"/>
          <w:szCs w:val="32"/>
        </w:rPr>
        <w:t>单位</w:t>
      </w:r>
      <w:r>
        <w:rPr>
          <w:rFonts w:eastAsia="仿宋_GB2312"/>
          <w:color w:val="auto"/>
          <w:sz w:val="32"/>
          <w:szCs w:val="32"/>
        </w:rPr>
        <w:t>)</w:t>
      </w:r>
      <w:r>
        <w:rPr>
          <w:rFonts w:hint="eastAsia" w:eastAsia="仿宋_GB2312"/>
          <w:color w:val="auto"/>
          <w:sz w:val="32"/>
          <w:szCs w:val="32"/>
        </w:rPr>
        <w:t>名称：</w:t>
      </w:r>
      <w:r>
        <w:rPr>
          <w:rFonts w:hint="eastAsia" w:eastAsia="仿宋_GB2312"/>
          <w:color w:val="auto"/>
          <w:sz w:val="32"/>
          <w:szCs w:val="32"/>
          <w:u w:val="single"/>
        </w:rPr>
        <w:t>岳阳市市场监督管理局</w:t>
      </w:r>
    </w:p>
    <w:p>
      <w:pPr>
        <w:spacing w:beforeLines="50" w:line="348" w:lineRule="auto"/>
        <w:ind w:firstLine="476" w:firstLineChars="150"/>
        <w:rPr>
          <w:rFonts w:eastAsia="仿宋_GB2312"/>
          <w:color w:val="auto"/>
          <w:spacing w:val="20"/>
          <w:sz w:val="32"/>
          <w:szCs w:val="32"/>
        </w:rPr>
      </w:pPr>
      <w:r>
        <w:rPr>
          <w:rFonts w:hint="eastAsia" w:eastAsia="仿宋_GB2312"/>
          <w:color w:val="auto"/>
          <w:sz w:val="32"/>
          <w:szCs w:val="32"/>
        </w:rPr>
        <w:t>预</w:t>
      </w:r>
      <w:r>
        <w:rPr>
          <w:rFonts w:hint="eastAsia" w:eastAsia="仿宋_GB2312"/>
          <w:color w:val="auto"/>
          <w:spacing w:val="30"/>
          <w:sz w:val="32"/>
          <w:szCs w:val="32"/>
        </w:rPr>
        <w:t>算编码：</w:t>
      </w:r>
      <w:r>
        <w:rPr>
          <w:rFonts w:eastAsia="仿宋_GB2312"/>
          <w:color w:val="auto"/>
          <w:spacing w:val="20"/>
          <w:sz w:val="32"/>
          <w:szCs w:val="32"/>
          <w:u w:val="single"/>
        </w:rPr>
        <w:t>506</w:t>
      </w:r>
    </w:p>
    <w:p>
      <w:pPr>
        <w:spacing w:beforeLines="50" w:line="348" w:lineRule="auto"/>
        <w:ind w:firstLine="476" w:firstLineChars="150"/>
        <w:rPr>
          <w:rFonts w:eastAsia="仿宋_GB2312"/>
          <w:color w:val="auto"/>
          <w:sz w:val="32"/>
          <w:szCs w:val="32"/>
        </w:rPr>
      </w:pPr>
      <w:r>
        <w:rPr>
          <w:rFonts w:hint="eastAsia" w:eastAsia="仿宋_GB2312"/>
          <w:color w:val="auto"/>
          <w:sz w:val="32"/>
          <w:szCs w:val="32"/>
        </w:rPr>
        <w:t>评价方式：</w:t>
      </w:r>
      <w:r>
        <w:rPr>
          <w:rFonts w:hint="eastAsia" w:ascii="仿宋_GB2312" w:eastAsia="仿宋_GB2312"/>
          <w:color w:val="auto"/>
          <w:sz w:val="32"/>
          <w:szCs w:val="32"/>
        </w:rPr>
        <w:t>岳阳市市场监督管理局整体绩效自评</w:t>
      </w:r>
    </w:p>
    <w:p>
      <w:pPr>
        <w:spacing w:beforeLines="50" w:line="348" w:lineRule="auto"/>
        <w:ind w:firstLine="476" w:firstLineChars="150"/>
        <w:rPr>
          <w:rFonts w:eastAsia="仿宋_GB2312"/>
          <w:color w:val="auto"/>
          <w:sz w:val="32"/>
          <w:szCs w:val="32"/>
        </w:rPr>
      </w:pPr>
      <w:r>
        <w:rPr>
          <w:rFonts w:hint="eastAsia" w:eastAsia="仿宋_GB2312"/>
          <w:color w:val="auto"/>
          <w:sz w:val="32"/>
          <w:szCs w:val="32"/>
        </w:rPr>
        <w:t>评价机构：</w:t>
      </w:r>
      <w:r>
        <w:rPr>
          <w:rFonts w:hint="eastAsia" w:ascii="仿宋_GB2312" w:eastAsia="仿宋_GB2312"/>
          <w:color w:val="auto"/>
          <w:sz w:val="32"/>
          <w:szCs w:val="32"/>
        </w:rPr>
        <w:t>岳阳市市场监督管理局绩效评价组</w:t>
      </w:r>
    </w:p>
    <w:p>
      <w:pPr>
        <w:spacing w:line="720" w:lineRule="exact"/>
        <w:ind w:firstLine="2188" w:firstLineChars="690"/>
        <w:rPr>
          <w:rFonts w:eastAsia="仿宋_GB2312"/>
          <w:color w:val="auto"/>
          <w:sz w:val="32"/>
        </w:rPr>
      </w:pPr>
    </w:p>
    <w:p>
      <w:pPr>
        <w:spacing w:line="720" w:lineRule="exact"/>
        <w:ind w:firstLine="2188" w:firstLineChars="690"/>
        <w:rPr>
          <w:rFonts w:eastAsia="仿宋_GB2312"/>
          <w:color w:val="auto"/>
          <w:sz w:val="32"/>
        </w:rPr>
      </w:pPr>
    </w:p>
    <w:p>
      <w:pPr>
        <w:spacing w:line="720" w:lineRule="exact"/>
        <w:ind w:firstLine="2188" w:firstLineChars="690"/>
        <w:rPr>
          <w:rFonts w:eastAsia="仿宋_GB2312"/>
          <w:color w:val="auto"/>
          <w:sz w:val="32"/>
        </w:rPr>
      </w:pPr>
    </w:p>
    <w:p>
      <w:pPr>
        <w:spacing w:line="348" w:lineRule="auto"/>
        <w:jc w:val="center"/>
        <w:rPr>
          <w:rFonts w:eastAsia="仿宋_GB2312"/>
          <w:color w:val="auto"/>
          <w:sz w:val="32"/>
        </w:rPr>
      </w:pPr>
      <w:r>
        <w:rPr>
          <w:rFonts w:hint="eastAsia" w:eastAsia="仿宋_GB2312"/>
          <w:color w:val="auto"/>
          <w:sz w:val="32"/>
        </w:rPr>
        <w:t>报告日期：</w:t>
      </w:r>
      <w:r>
        <w:rPr>
          <w:rFonts w:eastAsia="仿宋_GB2312"/>
          <w:color w:val="auto"/>
          <w:sz w:val="32"/>
        </w:rPr>
        <w:t>2021</w:t>
      </w:r>
      <w:r>
        <w:rPr>
          <w:rFonts w:hint="eastAsia" w:eastAsia="仿宋_GB2312"/>
          <w:color w:val="auto"/>
          <w:sz w:val="32"/>
        </w:rPr>
        <w:t>年</w:t>
      </w:r>
      <w:r>
        <w:rPr>
          <w:rFonts w:eastAsia="仿宋_GB2312"/>
          <w:color w:val="auto"/>
          <w:sz w:val="32"/>
        </w:rPr>
        <w:t>6</w:t>
      </w:r>
      <w:r>
        <w:rPr>
          <w:rFonts w:hint="eastAsia" w:eastAsia="仿宋_GB2312"/>
          <w:color w:val="auto"/>
          <w:sz w:val="32"/>
        </w:rPr>
        <w:t>月</w:t>
      </w:r>
      <w:r>
        <w:rPr>
          <w:rFonts w:eastAsia="仿宋_GB2312"/>
          <w:color w:val="auto"/>
          <w:sz w:val="32"/>
        </w:rPr>
        <w:t>2</w:t>
      </w:r>
      <w:r>
        <w:rPr>
          <w:rFonts w:hint="eastAsia" w:eastAsia="仿宋_GB2312"/>
          <w:color w:val="auto"/>
          <w:sz w:val="32"/>
        </w:rPr>
        <w:t>日</w:t>
      </w:r>
    </w:p>
    <w:p>
      <w:pPr>
        <w:autoSpaceDN w:val="0"/>
        <w:jc w:val="center"/>
        <w:textAlignment w:val="center"/>
        <w:rPr>
          <w:rFonts w:eastAsia="仿宋_GB2312"/>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color w:val="auto"/>
          <w:sz w:val="32"/>
        </w:rPr>
        <w:t>岳阳市财政</w:t>
      </w:r>
      <w:r>
        <w:rPr>
          <w:rFonts w:hint="eastAsia" w:eastAsia="仿宋_GB2312"/>
          <w:color w:val="auto"/>
          <w:sz w:val="32"/>
          <w:szCs w:val="32"/>
        </w:rPr>
        <w:t>局（制）</w:t>
      </w:r>
    </w:p>
    <w:tbl>
      <w:tblPr>
        <w:tblStyle w:val="7"/>
        <w:tblW w:w="99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101"/>
        <w:gridCol w:w="125"/>
        <w:gridCol w:w="1060"/>
        <w:gridCol w:w="740"/>
        <w:gridCol w:w="139"/>
        <w:gridCol w:w="189"/>
        <w:gridCol w:w="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93" w:type="dxa"/>
            <w:gridSpan w:val="16"/>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黑体" w:hAnsi="黑体" w:eastAsia="黑体" w:cs="黑体"/>
                <w:color w:val="auto"/>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联系人</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徐瑶</w:t>
            </w:r>
          </w:p>
        </w:tc>
        <w:tc>
          <w:tcPr>
            <w:tcW w:w="1479" w:type="dxa"/>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联络电话</w:t>
            </w:r>
          </w:p>
        </w:tc>
        <w:tc>
          <w:tcPr>
            <w:tcW w:w="3299" w:type="dxa"/>
            <w:gridSpan w:val="7"/>
            <w:vAlign w:val="center"/>
          </w:tcPr>
          <w:p>
            <w:pPr>
              <w:autoSpaceDN w:val="0"/>
              <w:spacing w:line="320" w:lineRule="exact"/>
              <w:jc w:val="center"/>
              <w:textAlignment w:val="center"/>
              <w:rPr>
                <w:rFonts w:ascii="仿宋_GB2312" w:hAnsi="仿宋_GB2312" w:eastAsia="仿宋_GB2312" w:cs="仿宋_GB2312"/>
                <w:color w:val="auto"/>
                <w:sz w:val="24"/>
              </w:rPr>
            </w:pPr>
            <w:r>
              <w:rPr>
                <w:rFonts w:ascii="仿宋_GB2312" w:hAnsi="仿宋_GB2312" w:eastAsia="仿宋_GB2312" w:cs="仿宋_GB2312"/>
                <w:color w:val="auto"/>
                <w:sz w:val="24"/>
              </w:rPr>
              <w:t>0730-8224907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人员编制</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auto"/>
                <w:sz w:val="24"/>
              </w:rPr>
            </w:pPr>
            <w:r>
              <w:rPr>
                <w:rFonts w:ascii="仿宋_GB2312" w:hAnsi="仿宋_GB2312" w:eastAsia="仿宋_GB2312" w:cs="仿宋_GB2312"/>
                <w:color w:val="auto"/>
                <w:sz w:val="24"/>
              </w:rPr>
              <w:t>539</w:t>
            </w:r>
          </w:p>
        </w:tc>
        <w:tc>
          <w:tcPr>
            <w:tcW w:w="1479" w:type="dxa"/>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实有人数</w:t>
            </w:r>
          </w:p>
        </w:tc>
        <w:tc>
          <w:tcPr>
            <w:tcW w:w="3299" w:type="dxa"/>
            <w:gridSpan w:val="7"/>
            <w:vAlign w:val="center"/>
          </w:tcPr>
          <w:p>
            <w:pPr>
              <w:autoSpaceDN w:val="0"/>
              <w:spacing w:line="320" w:lineRule="exact"/>
              <w:jc w:val="center"/>
              <w:textAlignment w:val="center"/>
              <w:rPr>
                <w:rFonts w:ascii="仿宋_GB2312" w:hAnsi="仿宋_GB2312" w:eastAsia="仿宋_GB2312" w:cs="仿宋_GB2312"/>
                <w:color w:val="auto"/>
                <w:sz w:val="24"/>
              </w:rPr>
            </w:pPr>
            <w:r>
              <w:rPr>
                <w:rFonts w:ascii="仿宋_GB2312" w:hAnsi="仿宋_GB2312" w:eastAsia="仿宋_GB2312" w:cs="仿宋_GB2312"/>
                <w:color w:val="auto"/>
                <w:sz w:val="24"/>
              </w:rPr>
              <w:t>565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职能职责概述</w:t>
            </w:r>
          </w:p>
        </w:tc>
        <w:tc>
          <w:tcPr>
            <w:tcW w:w="8339" w:type="dxa"/>
            <w:gridSpan w:val="14"/>
            <w:vAlign w:val="center"/>
          </w:tcPr>
          <w:p>
            <w:pPr>
              <w:spacing w:line="320" w:lineRule="exact"/>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w:t>
            </w:r>
            <w:r>
              <w:rPr>
                <w:rFonts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负责市场综合监督管理。</w:t>
            </w:r>
          </w:p>
          <w:p>
            <w:pPr>
              <w:spacing w:line="320" w:lineRule="exact"/>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w:t>
            </w:r>
            <w:r>
              <w:rPr>
                <w:rFonts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负责市场主体统一登记注册工作。</w:t>
            </w:r>
          </w:p>
          <w:p>
            <w:pPr>
              <w:spacing w:line="320" w:lineRule="exact"/>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w:t>
            </w:r>
            <w:r>
              <w:rPr>
                <w:rFonts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负责组织指导市场监管综合执法工作。</w:t>
            </w:r>
          </w:p>
          <w:p>
            <w:pPr>
              <w:spacing w:line="320" w:lineRule="exact"/>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w:t>
            </w:r>
            <w:r>
              <w:rPr>
                <w:rFonts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依委托开展反垄断统一执法调查工作。</w:t>
            </w:r>
          </w:p>
          <w:p>
            <w:pPr>
              <w:spacing w:line="320" w:lineRule="exact"/>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w:t>
            </w:r>
            <w:r>
              <w:rPr>
                <w:rFonts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负责监督管理市场秩序。</w:t>
            </w:r>
          </w:p>
          <w:p>
            <w:pPr>
              <w:spacing w:line="320" w:lineRule="exact"/>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（六）</w:t>
            </w:r>
            <w:r>
              <w:rPr>
                <w:rFonts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负责宏观质量管理。</w:t>
            </w:r>
          </w:p>
          <w:p>
            <w:pPr>
              <w:spacing w:line="320" w:lineRule="exact"/>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（七）</w:t>
            </w:r>
            <w:r>
              <w:rPr>
                <w:rFonts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负责产品质量安全监督管理。</w:t>
            </w:r>
          </w:p>
          <w:p>
            <w:pPr>
              <w:spacing w:line="320" w:lineRule="exact"/>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（八）负责特种设备安全监督管理。</w:t>
            </w:r>
          </w:p>
          <w:p>
            <w:pPr>
              <w:spacing w:line="320" w:lineRule="exact"/>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（九）负责食品安全监督管理综合协调。</w:t>
            </w:r>
          </w:p>
          <w:p>
            <w:pPr>
              <w:spacing w:line="320" w:lineRule="exact"/>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（十）负责食品安全监督管理。</w:t>
            </w:r>
          </w:p>
          <w:p>
            <w:pPr>
              <w:spacing w:line="320" w:lineRule="exact"/>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（十一）负责统一管理计量工作。</w:t>
            </w:r>
          </w:p>
          <w:p>
            <w:pPr>
              <w:spacing w:line="320" w:lineRule="exact"/>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（十二）负责统一管理标准化工作。</w:t>
            </w:r>
          </w:p>
          <w:p>
            <w:pPr>
              <w:spacing w:line="320" w:lineRule="exact"/>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（十三）负责统一管理检验检测工作。</w:t>
            </w:r>
          </w:p>
          <w:p>
            <w:pPr>
              <w:spacing w:line="320" w:lineRule="exact"/>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（十五）负责市场监督管理、知识产权领域科技和信息化建设、新闻宣传、对外交流与合作。按规定承担技术性贸易措施有关工作。</w:t>
            </w:r>
          </w:p>
          <w:p>
            <w:pPr>
              <w:spacing w:line="320" w:lineRule="exact"/>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（十六）负责实施知识产权战略，推进知识产权强市建设。</w:t>
            </w:r>
          </w:p>
          <w:p>
            <w:pPr>
              <w:spacing w:line="320" w:lineRule="exact"/>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（十七）负责保护知识产权。</w:t>
            </w:r>
          </w:p>
          <w:p>
            <w:pPr>
              <w:spacing w:line="320" w:lineRule="exact"/>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（十八）负责知识产权创造运用。</w:t>
            </w:r>
          </w:p>
          <w:p>
            <w:pPr>
              <w:spacing w:line="320" w:lineRule="exact"/>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（十九）负责组织开展有关商品和服务领域消费维权工作。</w:t>
            </w:r>
          </w:p>
          <w:p>
            <w:pPr>
              <w:spacing w:line="320" w:lineRule="exact"/>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（二十）负责药品（含中药、民族药，下同）、医疗器械和化妆品安全监督管理。</w:t>
            </w:r>
          </w:p>
          <w:p>
            <w:pPr>
              <w:spacing w:line="320" w:lineRule="exact"/>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（二十一）监督实施药品、医疗器械、化妆品标准和分类管理制度，配合有关部门实施国家基本药物制度。</w:t>
            </w:r>
          </w:p>
          <w:p>
            <w:pPr>
              <w:spacing w:line="320" w:lineRule="exact"/>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（二十二）负责权限范围内药品、医疗器械和化妆品质量管理。</w:t>
            </w:r>
          </w:p>
          <w:p>
            <w:pPr>
              <w:spacing w:line="320" w:lineRule="exact"/>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（二十三）负责权限范围内药品、医疗器械和化妆品上市后风险管理。</w:t>
            </w:r>
          </w:p>
          <w:p>
            <w:pPr>
              <w:spacing w:line="320" w:lineRule="exact"/>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（二十四）负责组织实施药品、医疗器械和化妆品监督检查。</w:t>
            </w:r>
          </w:p>
          <w:p>
            <w:pPr>
              <w:spacing w:line="320" w:lineRule="exact"/>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（二十五）负责指导市县市场监督管理部门承担的药品、医疗器械、化妆品有关监督管理工作。</w:t>
            </w:r>
          </w:p>
          <w:p>
            <w:pPr>
              <w:spacing w:line="320" w:lineRule="exact"/>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（二十六）按规定要求，承担对口事业服务机构业务工作的指导、协调和监督职责。</w:t>
            </w:r>
          </w:p>
          <w:p>
            <w:pPr>
              <w:autoSpaceDN w:val="0"/>
              <w:spacing w:line="320" w:lineRule="exact"/>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24"/>
              </w:rPr>
              <w:t>（二十七）完成市委、市政府交办的其他任务。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109"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年度主要</w:t>
            </w:r>
          </w:p>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工作内容</w:t>
            </w:r>
          </w:p>
        </w:tc>
        <w:tc>
          <w:tcPr>
            <w:tcW w:w="8339" w:type="dxa"/>
            <w:gridSpan w:val="14"/>
            <w:vAlign w:val="center"/>
          </w:tcPr>
          <w:p>
            <w:pPr>
              <w:autoSpaceDN w:val="0"/>
              <w:spacing w:line="320" w:lineRule="exact"/>
              <w:jc w:val="left"/>
              <w:textAlignment w:val="center"/>
              <w:rPr>
                <w:rFonts w:ascii="仿宋_GB2312" w:hAnsi="仿宋_GB2312" w:eastAsia="仿宋_GB2312" w:cs="仿宋_GB2312"/>
                <w:color w:val="auto"/>
                <w:sz w:val="24"/>
                <w:szCs w:val="24"/>
              </w:rPr>
            </w:pPr>
          </w:p>
          <w:p>
            <w:pPr>
              <w:autoSpaceDN w:val="0"/>
              <w:spacing w:line="360" w:lineRule="auto"/>
              <w:ind w:left="31680" w:hanging="720" w:hangingChars="300"/>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任务</w:t>
            </w:r>
            <w:r>
              <w:rPr>
                <w:rFonts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rPr>
              <w:t>：坚持党建引领的红线</w:t>
            </w:r>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rPr>
              <w:t>扎实开展“不忘初心、牢记使命”主题教育，抓班子带队伍，坚定干部职工理想信念。</w:t>
            </w:r>
          </w:p>
          <w:p>
            <w:pPr>
              <w:autoSpaceDN w:val="0"/>
              <w:spacing w:line="360" w:lineRule="auto"/>
              <w:ind w:left="31680" w:hanging="720" w:hangingChars="300"/>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任务</w:t>
            </w:r>
            <w:r>
              <w:rPr>
                <w:rFonts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rPr>
              <w:t>：抓实商事改革的主线。进一步深化商事制度“放管服”改革，落实“一件事一次办”，巩固成果，突出特色。</w:t>
            </w:r>
          </w:p>
          <w:p>
            <w:pPr>
              <w:autoSpaceDN w:val="0"/>
              <w:spacing w:line="360" w:lineRule="auto"/>
              <w:ind w:left="31680" w:hanging="720" w:hangingChars="300"/>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任务</w:t>
            </w:r>
            <w:r>
              <w:rPr>
                <w:rFonts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rPr>
              <w:t>：守住市场安全的底线。突出食品药品特种设备、重点工业产品监管，防范风险，维护市场公平正义。紧扣消费维权的热线。</w:t>
            </w:r>
          </w:p>
          <w:p>
            <w:pPr>
              <w:autoSpaceDN w:val="0"/>
              <w:spacing w:line="360" w:lineRule="auto"/>
              <w:ind w:left="31680" w:hanging="720" w:hangingChars="300"/>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任务</w:t>
            </w:r>
            <w:r>
              <w:rPr>
                <w:rFonts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rPr>
              <w:t>：围绕中心，服务大局，完善机构改革，服务市委市政府中心工作，维护好消费者权益。</w:t>
            </w:r>
          </w:p>
          <w:p>
            <w:pPr>
              <w:autoSpaceDN w:val="0"/>
              <w:spacing w:line="320" w:lineRule="exact"/>
              <w:jc w:val="left"/>
              <w:textAlignment w:val="center"/>
              <w:rPr>
                <w:rFonts w:ascii="仿宋_GB2312" w:hAnsi="仿宋_GB2312" w:eastAsia="仿宋_GB2312" w:cs="仿宋_GB2312"/>
                <w:color w:val="auto"/>
                <w:sz w:val="24"/>
              </w:rPr>
            </w:pPr>
          </w:p>
          <w:p>
            <w:pPr>
              <w:autoSpaceDN w:val="0"/>
              <w:spacing w:line="320" w:lineRule="exact"/>
              <w:jc w:val="left"/>
              <w:textAlignment w:val="center"/>
              <w:rPr>
                <w:rFonts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年度部门（单位）总体运行情况及取得的成绩</w:t>
            </w:r>
          </w:p>
        </w:tc>
        <w:tc>
          <w:tcPr>
            <w:tcW w:w="8339" w:type="dxa"/>
            <w:gridSpan w:val="14"/>
            <w:vAlign w:val="center"/>
          </w:tcPr>
          <w:p>
            <w:pPr>
              <w:spacing w:line="36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rPr>
              <w:t>、在省市场监管局</w:t>
            </w:r>
            <w:r>
              <w:rPr>
                <w:rFonts w:ascii="仿宋_GB2312" w:hAnsi="仿宋_GB2312" w:eastAsia="仿宋_GB2312" w:cs="仿宋_GB2312"/>
                <w:color w:val="auto"/>
                <w:sz w:val="24"/>
                <w:szCs w:val="24"/>
              </w:rPr>
              <w:t>2020</w:t>
            </w:r>
            <w:r>
              <w:rPr>
                <w:rFonts w:hint="eastAsia" w:ascii="仿宋_GB2312" w:hAnsi="仿宋_GB2312" w:eastAsia="仿宋_GB2312" w:cs="仿宋_GB2312"/>
                <w:color w:val="auto"/>
                <w:sz w:val="24"/>
                <w:szCs w:val="24"/>
              </w:rPr>
              <w:t>年度真抓实干督查激励拟向省政府推荐名单中，我市位居第二。</w:t>
            </w:r>
          </w:p>
          <w:p>
            <w:pPr>
              <w:spacing w:line="36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rPr>
              <w:t>、推进“一件事一次办”，在全省率先实现企业开办时间只需</w:t>
            </w:r>
            <w:r>
              <w:rPr>
                <w:rFonts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rPr>
              <w:t>天，企业设立登记只需</w:t>
            </w:r>
            <w:r>
              <w:rPr>
                <w:rFonts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rPr>
              <w:t>个小时。企业开办从窗口正式受理起，税务、公章、社保、住房公积金、银行等业务穿插并联办理，企业领取营业执照在</w:t>
            </w:r>
            <w:r>
              <w:rPr>
                <w:rFonts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rPr>
              <w:t>小时内办结，企业开办各环节合计按工作时间“</w:t>
            </w:r>
            <w:r>
              <w:rPr>
                <w:rFonts w:ascii="仿宋_GB2312" w:hAnsi="仿宋_GB2312" w:eastAsia="仿宋_GB2312" w:cs="仿宋_GB2312"/>
                <w:color w:val="auto"/>
                <w:sz w:val="24"/>
                <w:szCs w:val="24"/>
              </w:rPr>
              <w:t>8</w:t>
            </w:r>
            <w:r>
              <w:rPr>
                <w:rFonts w:hint="eastAsia" w:ascii="仿宋_GB2312" w:hAnsi="仿宋_GB2312" w:eastAsia="仿宋_GB2312" w:cs="仿宋_GB2312"/>
                <w:color w:val="auto"/>
                <w:sz w:val="24"/>
                <w:szCs w:val="24"/>
              </w:rPr>
              <w:t>小时”实现“一天办结”。</w:t>
            </w:r>
          </w:p>
          <w:p>
            <w:pPr>
              <w:spacing w:line="36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rPr>
              <w:t>、在全省率先对</w:t>
            </w:r>
            <w:r>
              <w:rPr>
                <w:rFonts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rPr>
              <w:t>家学校跑道和农资生产企业开展“质量体检进企业”活动，出具质量体检报告，指导督促重点企业提升质量安全管理水平。</w:t>
            </w:r>
          </w:p>
          <w:p>
            <w:pPr>
              <w:spacing w:line="36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rPr>
              <w:t>、在省质量强省政府质量工作考核通报中，岳阳市消费品质量合格率</w:t>
            </w:r>
            <w:r>
              <w:rPr>
                <w:rFonts w:ascii="仿宋_GB2312" w:hAnsi="仿宋_GB2312" w:eastAsia="仿宋_GB2312" w:cs="仿宋_GB2312"/>
                <w:color w:val="auto"/>
                <w:sz w:val="24"/>
                <w:szCs w:val="24"/>
              </w:rPr>
              <w:t>96.16%</w:t>
            </w:r>
            <w:r>
              <w:rPr>
                <w:rFonts w:hint="eastAsia" w:ascii="仿宋_GB2312" w:hAnsi="仿宋_GB2312" w:eastAsia="仿宋_GB2312" w:cs="仿宋_GB2312"/>
                <w:color w:val="auto"/>
                <w:sz w:val="24"/>
                <w:szCs w:val="24"/>
              </w:rPr>
              <w:t>，比全省平均数高</w:t>
            </w:r>
            <w:r>
              <w:rPr>
                <w:rFonts w:ascii="仿宋_GB2312" w:hAnsi="仿宋_GB2312" w:eastAsia="仿宋_GB2312" w:cs="仿宋_GB2312"/>
                <w:color w:val="auto"/>
                <w:sz w:val="24"/>
                <w:szCs w:val="24"/>
              </w:rPr>
              <w:t>4.21%</w:t>
            </w:r>
            <w:r>
              <w:rPr>
                <w:rFonts w:hint="eastAsia" w:ascii="仿宋_GB2312" w:hAnsi="仿宋_GB2312" w:eastAsia="仿宋_GB2312" w:cs="仿宋_GB2312"/>
                <w:color w:val="auto"/>
                <w:sz w:val="24"/>
                <w:szCs w:val="24"/>
              </w:rPr>
              <w:t>，领跑全省；政府质量工作满意度调查得分</w:t>
            </w:r>
            <w:r>
              <w:rPr>
                <w:rFonts w:ascii="仿宋_GB2312" w:hAnsi="仿宋_GB2312" w:eastAsia="仿宋_GB2312" w:cs="仿宋_GB2312"/>
                <w:color w:val="auto"/>
                <w:sz w:val="24"/>
                <w:szCs w:val="24"/>
              </w:rPr>
              <w:t>74.22</w:t>
            </w:r>
            <w:r>
              <w:rPr>
                <w:rFonts w:hint="eastAsia" w:ascii="仿宋_GB2312" w:hAnsi="仿宋_GB2312" w:eastAsia="仿宋_GB2312" w:cs="仿宋_GB2312"/>
                <w:color w:val="auto"/>
                <w:sz w:val="24"/>
                <w:szCs w:val="24"/>
              </w:rPr>
              <w:t>，排名全省第二。平江县开设全国首个“辣条专业班”培训，首开辣条专业课，为辣条行业输送人才。</w:t>
            </w:r>
          </w:p>
          <w:p>
            <w:pPr>
              <w:spacing w:line="36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5</w:t>
            </w:r>
            <w:r>
              <w:rPr>
                <w:rFonts w:hint="eastAsia" w:ascii="仿宋_GB2312" w:hAnsi="仿宋_GB2312" w:eastAsia="仿宋_GB2312" w:cs="仿宋_GB2312"/>
                <w:color w:val="auto"/>
                <w:sz w:val="24"/>
                <w:szCs w:val="24"/>
              </w:rPr>
              <w:t>、</w:t>
            </w:r>
            <w:r>
              <w:rPr>
                <w:rFonts w:ascii="仿宋_GB2312" w:hAnsi="仿宋_GB2312" w:eastAsia="仿宋_GB2312" w:cs="仿宋_GB2312"/>
                <w:color w:val="auto"/>
                <w:sz w:val="24"/>
                <w:szCs w:val="24"/>
              </w:rPr>
              <w:t>10</w:t>
            </w:r>
            <w:r>
              <w:rPr>
                <w:rFonts w:hint="eastAsia" w:ascii="仿宋_GB2312" w:hAnsi="仿宋_GB2312" w:eastAsia="仿宋_GB2312" w:cs="仿宋_GB2312"/>
                <w:color w:val="auto"/>
                <w:sz w:val="24"/>
                <w:szCs w:val="24"/>
              </w:rPr>
              <w:t>家知识产权服务机构与各县市区市场监管部门正式签署共建知识产权综合服务平台协议，在全省率先实现知识产权综合服务平台全覆盖。</w:t>
            </w:r>
          </w:p>
          <w:p>
            <w:pPr>
              <w:spacing w:line="36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6</w:t>
            </w:r>
            <w:r>
              <w:rPr>
                <w:rFonts w:hint="eastAsia" w:ascii="仿宋_GB2312" w:hAnsi="仿宋_GB2312" w:eastAsia="仿宋_GB2312" w:cs="仿宋_GB2312"/>
                <w:color w:val="auto"/>
                <w:sz w:val="24"/>
                <w:szCs w:val="24"/>
              </w:rPr>
              <w:t>、在全省率先运用信息化手段，将食品安全监管搬上互联网，初步构建了“阳光监管、透明共治”新模式。十月底，岳阳县、华容县通过了省级食品安全示范县市级初评，汨罗市成功列入第三批省级食品安全示范县名单。</w:t>
            </w:r>
          </w:p>
          <w:p>
            <w:pPr>
              <w:spacing w:line="36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7</w:t>
            </w:r>
            <w:r>
              <w:rPr>
                <w:rFonts w:hint="eastAsia" w:ascii="仿宋_GB2312" w:hAnsi="仿宋_GB2312" w:eastAsia="仿宋_GB2312" w:cs="仿宋_GB2312"/>
                <w:color w:val="auto"/>
                <w:sz w:val="24"/>
                <w:szCs w:val="24"/>
              </w:rPr>
              <w:t>、在全省地州市局中率先组织开展认证领域“双随机、一公开”监督检查。</w:t>
            </w:r>
          </w:p>
          <w:p>
            <w:pPr>
              <w:spacing w:line="36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8</w:t>
            </w:r>
            <w:r>
              <w:rPr>
                <w:rFonts w:hint="eastAsia" w:ascii="仿宋_GB2312" w:hAnsi="仿宋_GB2312" w:eastAsia="仿宋_GB2312" w:cs="仿宋_GB2312"/>
                <w:color w:val="auto"/>
                <w:sz w:val="24"/>
                <w:szCs w:val="24"/>
              </w:rPr>
              <w:t>、岳阳荣获全省食品安全工作先进市。</w:t>
            </w:r>
          </w:p>
          <w:p>
            <w:pPr>
              <w:autoSpaceDN w:val="0"/>
              <w:spacing w:line="320" w:lineRule="exact"/>
              <w:jc w:val="left"/>
              <w:textAlignment w:val="center"/>
              <w:rPr>
                <w:rFonts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93" w:type="dxa"/>
            <w:gridSpan w:val="16"/>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黑体" w:hAnsi="黑体" w:eastAsia="黑体" w:cs="黑体"/>
                <w:color w:val="auto"/>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9993" w:type="dxa"/>
            <w:gridSpan w:val="16"/>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b/>
                <w:bCs/>
                <w:color w:val="auto"/>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收入合计</w:t>
            </w:r>
          </w:p>
        </w:tc>
        <w:tc>
          <w:tcPr>
            <w:tcW w:w="7213" w:type="dxa"/>
            <w:gridSpan w:val="1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auto"/>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公共财</w:t>
            </w:r>
          </w:p>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政拨款</w:t>
            </w:r>
          </w:p>
        </w:tc>
        <w:tc>
          <w:tcPr>
            <w:tcW w:w="1705" w:type="dxa"/>
            <w:gridSpan w:val="3"/>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政府基金拨款</w:t>
            </w: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纳入专户管理的非税收入拨款</w:t>
            </w:r>
          </w:p>
        </w:tc>
        <w:tc>
          <w:tcPr>
            <w:tcW w:w="1273" w:type="dxa"/>
            <w:gridSpan w:val="3"/>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其他</w:t>
            </w:r>
          </w:p>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r>
              <w:rPr>
                <w:rFonts w:ascii="仿宋_GB2312" w:hAnsi="仿宋_GB2312" w:eastAsia="仿宋_GB2312" w:cs="仿宋_GB2312"/>
                <w:color w:val="auto"/>
                <w:sz w:val="24"/>
              </w:rPr>
              <w:t>21209.57</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r>
              <w:rPr>
                <w:rFonts w:ascii="仿宋_GB2312" w:hAnsi="仿宋_GB2312" w:eastAsia="仿宋_GB2312" w:cs="仿宋_GB2312"/>
                <w:color w:val="auto"/>
                <w:sz w:val="24"/>
              </w:rPr>
              <w:t>2977.08</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auto"/>
                <w:sz w:val="24"/>
              </w:rPr>
            </w:pPr>
            <w:r>
              <w:rPr>
                <w:rFonts w:ascii="仿宋_GB2312" w:hAnsi="仿宋_GB2312" w:eastAsia="仿宋_GB2312" w:cs="仿宋_GB2312"/>
                <w:color w:val="auto"/>
                <w:sz w:val="24"/>
              </w:rPr>
              <w:t>17395.9</w:t>
            </w:r>
          </w:p>
        </w:tc>
        <w:tc>
          <w:tcPr>
            <w:tcW w:w="1705" w:type="dxa"/>
            <w:gridSpan w:val="3"/>
            <w:vAlign w:val="center"/>
          </w:tcPr>
          <w:p>
            <w:pPr>
              <w:autoSpaceDN w:val="0"/>
              <w:spacing w:line="320" w:lineRule="exact"/>
              <w:jc w:val="center"/>
              <w:textAlignment w:val="center"/>
              <w:rPr>
                <w:rFonts w:ascii="仿宋_GB2312" w:hAnsi="仿宋_GB2312" w:eastAsia="仿宋_GB2312" w:cs="仿宋_GB2312"/>
                <w:color w:val="auto"/>
                <w:sz w:val="24"/>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auto"/>
                <w:sz w:val="24"/>
              </w:rPr>
            </w:pPr>
          </w:p>
        </w:tc>
        <w:tc>
          <w:tcPr>
            <w:tcW w:w="1273" w:type="dxa"/>
            <w:gridSpan w:val="3"/>
            <w:vAlign w:val="center"/>
          </w:tcPr>
          <w:p>
            <w:pPr>
              <w:autoSpaceDN w:val="0"/>
              <w:spacing w:line="320" w:lineRule="exact"/>
              <w:jc w:val="center"/>
              <w:textAlignment w:val="center"/>
              <w:rPr>
                <w:rFonts w:ascii="仿宋_GB2312" w:hAnsi="仿宋_GB2312" w:eastAsia="仿宋_GB2312" w:cs="仿宋_GB2312"/>
                <w:color w:val="auto"/>
                <w:sz w:val="24"/>
              </w:rPr>
            </w:pPr>
            <w:r>
              <w:rPr>
                <w:rFonts w:ascii="仿宋_GB2312" w:hAnsi="仿宋_GB2312" w:eastAsia="仿宋_GB2312" w:cs="仿宋_GB2312"/>
                <w:color w:val="auto"/>
                <w:sz w:val="24"/>
              </w:rPr>
              <w:t>1136.59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700" w:type="dxa"/>
            <w:gridSpan w:val="3"/>
            <w:vAlign w:val="center"/>
          </w:tcPr>
          <w:p>
            <w:pPr>
              <w:spacing w:line="320" w:lineRule="exact"/>
              <w:rPr>
                <w:rFonts w:ascii="仿宋_GB2312" w:hAnsi="仿宋_GB2312" w:eastAsia="仿宋_GB2312" w:cs="仿宋_GB2312"/>
                <w:color w:val="auto"/>
                <w:sz w:val="24"/>
                <w:szCs w:val="24"/>
              </w:rPr>
            </w:pPr>
            <w:r>
              <w:rPr>
                <w:rFonts w:ascii="仿宋_GB2312" w:hAnsi="仿宋_GB2312" w:eastAsia="仿宋_GB2312" w:cs="仿宋_GB2312"/>
                <w:color w:val="auto"/>
                <w:sz w:val="24"/>
              </w:rPr>
              <w:t>1</w:t>
            </w:r>
            <w:r>
              <w:rPr>
                <w:rFonts w:hint="eastAsia" w:ascii="仿宋_GB2312" w:hAnsi="仿宋_GB2312" w:eastAsia="仿宋_GB2312" w:cs="仿宋_GB2312"/>
                <w:color w:val="auto"/>
                <w:sz w:val="24"/>
              </w:rPr>
              <w:t>、局机关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6831.01</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1946.45</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4879.44</w:t>
            </w:r>
          </w:p>
        </w:tc>
        <w:tc>
          <w:tcPr>
            <w:tcW w:w="1705" w:type="dxa"/>
            <w:gridSpan w:val="3"/>
            <w:vAlign w:val="center"/>
          </w:tcPr>
          <w:p>
            <w:pPr>
              <w:autoSpaceDN w:val="0"/>
              <w:spacing w:line="320" w:lineRule="exact"/>
              <w:jc w:val="center"/>
              <w:textAlignment w:val="center"/>
              <w:rPr>
                <w:rFonts w:ascii="仿宋_GB2312" w:hAnsi="仿宋_GB2312" w:eastAsia="仿宋_GB2312" w:cs="仿宋_GB2312"/>
                <w:color w:val="auto"/>
                <w:sz w:val="24"/>
                <w:szCs w:val="24"/>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auto"/>
                <w:sz w:val="24"/>
                <w:szCs w:val="24"/>
              </w:rPr>
            </w:pPr>
          </w:p>
        </w:tc>
        <w:tc>
          <w:tcPr>
            <w:tcW w:w="1273" w:type="dxa"/>
            <w:gridSpan w:val="3"/>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rPr>
              <w:t>2</w:t>
            </w:r>
            <w:r>
              <w:rPr>
                <w:rFonts w:hint="eastAsia" w:ascii="仿宋_GB2312" w:hAnsi="仿宋_GB2312" w:eastAsia="仿宋_GB2312" w:cs="仿宋_GB2312"/>
                <w:color w:val="auto"/>
                <w:sz w:val="24"/>
              </w:rPr>
              <w:t>、岳阳楼分局</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5344.89</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177.13</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5021.63</w:t>
            </w:r>
          </w:p>
        </w:tc>
        <w:tc>
          <w:tcPr>
            <w:tcW w:w="1705" w:type="dxa"/>
            <w:gridSpan w:val="3"/>
            <w:vAlign w:val="center"/>
          </w:tcPr>
          <w:p>
            <w:pPr>
              <w:autoSpaceDN w:val="0"/>
              <w:spacing w:line="320" w:lineRule="exact"/>
              <w:jc w:val="center"/>
              <w:textAlignment w:val="center"/>
              <w:rPr>
                <w:rFonts w:ascii="仿宋_GB2312" w:hAnsi="仿宋_GB2312" w:eastAsia="仿宋_GB2312" w:cs="仿宋_GB2312"/>
                <w:color w:val="auto"/>
                <w:sz w:val="24"/>
                <w:szCs w:val="24"/>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auto"/>
                <w:sz w:val="24"/>
                <w:szCs w:val="24"/>
              </w:rPr>
            </w:pPr>
          </w:p>
        </w:tc>
        <w:tc>
          <w:tcPr>
            <w:tcW w:w="1273" w:type="dxa"/>
            <w:gridSpan w:val="3"/>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146.13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rPr>
              <w:t>3</w:t>
            </w:r>
            <w:r>
              <w:rPr>
                <w:rFonts w:hint="eastAsia" w:ascii="仿宋_GB2312" w:hAnsi="仿宋_GB2312" w:eastAsia="仿宋_GB2312" w:cs="仿宋_GB2312"/>
                <w:color w:val="auto"/>
                <w:sz w:val="24"/>
              </w:rPr>
              <w:t>、经开区分局</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2462.04</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8.13</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1685.43</w:t>
            </w:r>
          </w:p>
        </w:tc>
        <w:tc>
          <w:tcPr>
            <w:tcW w:w="1705" w:type="dxa"/>
            <w:gridSpan w:val="3"/>
            <w:vAlign w:val="center"/>
          </w:tcPr>
          <w:p>
            <w:pPr>
              <w:autoSpaceDN w:val="0"/>
              <w:spacing w:line="320" w:lineRule="exact"/>
              <w:jc w:val="center"/>
              <w:textAlignment w:val="center"/>
              <w:rPr>
                <w:rFonts w:ascii="仿宋_GB2312" w:hAnsi="仿宋_GB2312" w:eastAsia="仿宋_GB2312" w:cs="仿宋_GB2312"/>
                <w:color w:val="auto"/>
                <w:sz w:val="24"/>
                <w:szCs w:val="24"/>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auto"/>
                <w:sz w:val="24"/>
                <w:szCs w:val="24"/>
              </w:rPr>
            </w:pPr>
          </w:p>
        </w:tc>
        <w:tc>
          <w:tcPr>
            <w:tcW w:w="1273" w:type="dxa"/>
            <w:gridSpan w:val="3"/>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768.48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rPr>
              <w:t>4</w:t>
            </w:r>
            <w:r>
              <w:rPr>
                <w:rFonts w:hint="eastAsia" w:ascii="仿宋_GB2312" w:hAnsi="仿宋_GB2312" w:eastAsia="仿宋_GB2312" w:cs="仿宋_GB2312"/>
                <w:color w:val="auto"/>
                <w:sz w:val="24"/>
              </w:rPr>
              <w:t>、南湖分局</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1195.32</w:t>
            </w:r>
          </w:p>
        </w:tc>
        <w:tc>
          <w:tcPr>
            <w:tcW w:w="1355" w:type="dxa"/>
            <w:gridSpan w:val="2"/>
            <w:tcBorders>
              <w:left w:val="single" w:color="auto" w:sz="4" w:space="0"/>
            </w:tcBorders>
            <w:vAlign w:val="center"/>
          </w:tcPr>
          <w:p>
            <w:pPr>
              <w:autoSpaceDN w:val="0"/>
              <w:spacing w:line="320" w:lineRule="exact"/>
              <w:ind w:firstLine="240" w:firstLineChars="100"/>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49.18</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936.48</w:t>
            </w:r>
          </w:p>
        </w:tc>
        <w:tc>
          <w:tcPr>
            <w:tcW w:w="1705" w:type="dxa"/>
            <w:gridSpan w:val="3"/>
            <w:vAlign w:val="center"/>
          </w:tcPr>
          <w:p>
            <w:pPr>
              <w:autoSpaceDN w:val="0"/>
              <w:spacing w:line="320" w:lineRule="exact"/>
              <w:jc w:val="center"/>
              <w:textAlignment w:val="center"/>
              <w:rPr>
                <w:rFonts w:ascii="仿宋_GB2312" w:hAnsi="仿宋_GB2312" w:eastAsia="仿宋_GB2312" w:cs="仿宋_GB2312"/>
                <w:color w:val="auto"/>
                <w:sz w:val="24"/>
                <w:szCs w:val="24"/>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auto"/>
                <w:sz w:val="24"/>
                <w:szCs w:val="24"/>
              </w:rPr>
            </w:pPr>
          </w:p>
        </w:tc>
        <w:tc>
          <w:tcPr>
            <w:tcW w:w="1273" w:type="dxa"/>
            <w:gridSpan w:val="3"/>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209.66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700" w:type="dxa"/>
            <w:gridSpan w:val="3"/>
            <w:vAlign w:val="center"/>
          </w:tcPr>
          <w:p>
            <w:pPr>
              <w:spacing w:line="320" w:lineRule="exact"/>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rPr>
              <w:t>5</w:t>
            </w:r>
            <w:r>
              <w:rPr>
                <w:rFonts w:hint="eastAsia" w:ascii="仿宋_GB2312" w:hAnsi="仿宋_GB2312" w:eastAsia="仿宋_GB2312" w:cs="仿宋_GB2312"/>
                <w:color w:val="auto"/>
                <w:sz w:val="24"/>
              </w:rPr>
              <w:t>、城陵矶新港区分局</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272.89</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0</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265.69</w:t>
            </w:r>
          </w:p>
        </w:tc>
        <w:tc>
          <w:tcPr>
            <w:tcW w:w="1705" w:type="dxa"/>
            <w:gridSpan w:val="3"/>
            <w:vAlign w:val="center"/>
          </w:tcPr>
          <w:p>
            <w:pPr>
              <w:autoSpaceDN w:val="0"/>
              <w:spacing w:line="320" w:lineRule="exact"/>
              <w:jc w:val="center"/>
              <w:textAlignment w:val="center"/>
              <w:rPr>
                <w:rFonts w:ascii="仿宋_GB2312" w:hAnsi="仿宋_GB2312" w:eastAsia="仿宋_GB2312" w:cs="仿宋_GB2312"/>
                <w:color w:val="auto"/>
                <w:sz w:val="24"/>
                <w:szCs w:val="24"/>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auto"/>
                <w:sz w:val="24"/>
                <w:szCs w:val="24"/>
              </w:rPr>
            </w:pPr>
          </w:p>
        </w:tc>
        <w:tc>
          <w:tcPr>
            <w:tcW w:w="1273" w:type="dxa"/>
            <w:gridSpan w:val="3"/>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rPr>
              <w:t>6</w:t>
            </w:r>
            <w:r>
              <w:rPr>
                <w:rFonts w:hint="eastAsia" w:ascii="仿宋_GB2312" w:hAnsi="仿宋_GB2312" w:eastAsia="仿宋_GB2312" w:cs="仿宋_GB2312"/>
                <w:color w:val="auto"/>
                <w:sz w:val="24"/>
              </w:rPr>
              <w:t>、综合行政执法支队</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1860.50</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0</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1860.50</w:t>
            </w:r>
          </w:p>
        </w:tc>
        <w:tc>
          <w:tcPr>
            <w:tcW w:w="1705" w:type="dxa"/>
            <w:gridSpan w:val="3"/>
            <w:vAlign w:val="center"/>
          </w:tcPr>
          <w:p>
            <w:pPr>
              <w:autoSpaceDN w:val="0"/>
              <w:spacing w:line="320" w:lineRule="exact"/>
              <w:jc w:val="center"/>
              <w:textAlignment w:val="center"/>
              <w:rPr>
                <w:rFonts w:ascii="仿宋_GB2312" w:hAnsi="仿宋_GB2312" w:eastAsia="仿宋_GB2312" w:cs="仿宋_GB2312"/>
                <w:color w:val="auto"/>
                <w:sz w:val="24"/>
                <w:szCs w:val="24"/>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auto"/>
                <w:sz w:val="24"/>
                <w:szCs w:val="24"/>
              </w:rPr>
            </w:pPr>
          </w:p>
        </w:tc>
        <w:tc>
          <w:tcPr>
            <w:tcW w:w="1273" w:type="dxa"/>
            <w:gridSpan w:val="3"/>
            <w:vAlign w:val="center"/>
          </w:tcPr>
          <w:p>
            <w:pPr>
              <w:autoSpaceDN w:val="0"/>
              <w:spacing w:line="320" w:lineRule="exact"/>
              <w:jc w:val="center"/>
              <w:textAlignment w:val="center"/>
              <w:rPr>
                <w:rFonts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rPr>
              <w:t>7</w:t>
            </w:r>
            <w:r>
              <w:rPr>
                <w:rFonts w:hint="eastAsia" w:ascii="仿宋_GB2312" w:hAnsi="仿宋_GB2312" w:eastAsia="仿宋_GB2312" w:cs="仿宋_GB2312"/>
                <w:color w:val="auto"/>
                <w:sz w:val="24"/>
              </w:rPr>
              <w:t>、检验检测中心</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3242.92</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796.19</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2746.73</w:t>
            </w:r>
          </w:p>
        </w:tc>
        <w:tc>
          <w:tcPr>
            <w:tcW w:w="1705" w:type="dxa"/>
            <w:gridSpan w:val="3"/>
            <w:vAlign w:val="center"/>
          </w:tcPr>
          <w:p>
            <w:pPr>
              <w:autoSpaceDN w:val="0"/>
              <w:spacing w:line="320" w:lineRule="exact"/>
              <w:jc w:val="center"/>
              <w:textAlignment w:val="center"/>
              <w:rPr>
                <w:rFonts w:ascii="仿宋_GB2312" w:hAnsi="仿宋_GB2312" w:eastAsia="仿宋_GB2312" w:cs="仿宋_GB2312"/>
                <w:color w:val="auto"/>
                <w:sz w:val="24"/>
                <w:szCs w:val="24"/>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auto"/>
                <w:sz w:val="24"/>
                <w:szCs w:val="24"/>
              </w:rPr>
            </w:pPr>
          </w:p>
        </w:tc>
        <w:tc>
          <w:tcPr>
            <w:tcW w:w="1273" w:type="dxa"/>
            <w:gridSpan w:val="3"/>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993" w:type="dxa"/>
            <w:gridSpan w:val="16"/>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b/>
                <w:bCs/>
                <w:color w:val="auto"/>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支出合计</w:t>
            </w:r>
          </w:p>
        </w:tc>
        <w:tc>
          <w:tcPr>
            <w:tcW w:w="5200" w:type="dxa"/>
            <w:gridSpan w:val="8"/>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其中：</w:t>
            </w:r>
          </w:p>
        </w:tc>
        <w:tc>
          <w:tcPr>
            <w:tcW w:w="2013"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color w:val="auto"/>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基本支出</w:t>
            </w:r>
          </w:p>
        </w:tc>
        <w:tc>
          <w:tcPr>
            <w:tcW w:w="2660" w:type="dxa"/>
            <w:gridSpan w:val="4"/>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其中：</w:t>
            </w:r>
          </w:p>
        </w:tc>
        <w:tc>
          <w:tcPr>
            <w:tcW w:w="1185" w:type="dxa"/>
            <w:gridSpan w:val="2"/>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项目支出</w:t>
            </w:r>
          </w:p>
        </w:tc>
        <w:tc>
          <w:tcPr>
            <w:tcW w:w="1068"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当年结余</w:t>
            </w:r>
          </w:p>
        </w:tc>
        <w:tc>
          <w:tcPr>
            <w:tcW w:w="94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color w:val="auto"/>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人员支出</w:t>
            </w:r>
          </w:p>
        </w:tc>
        <w:tc>
          <w:tcPr>
            <w:tcW w:w="1580" w:type="dxa"/>
            <w:gridSpan w:val="2"/>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公用支出</w:t>
            </w:r>
          </w:p>
        </w:tc>
        <w:tc>
          <w:tcPr>
            <w:tcW w:w="1185"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p>
        </w:tc>
        <w:tc>
          <w:tcPr>
            <w:tcW w:w="1068"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p>
        </w:tc>
        <w:tc>
          <w:tcPr>
            <w:tcW w:w="94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局机关及二级机构汇总</w:t>
            </w:r>
          </w:p>
        </w:tc>
        <w:tc>
          <w:tcPr>
            <w:tcW w:w="1080" w:type="dxa"/>
            <w:tcBorders>
              <w:right w:val="single" w:color="auto" w:sz="4" w:space="0"/>
            </w:tcBorders>
            <w:vAlign w:val="center"/>
          </w:tcPr>
          <w:p>
            <w:pPr>
              <w:widowControl/>
              <w:jc w:val="center"/>
              <w:textAlignment w:val="center"/>
              <w:rPr>
                <w:rFonts w:ascii="仿宋_GB2312" w:hAnsi="仿宋_GB2312" w:eastAsia="仿宋_GB2312" w:cs="仿宋_GB2312"/>
                <w:color w:val="auto"/>
                <w:sz w:val="24"/>
              </w:rPr>
            </w:pPr>
            <w:r>
              <w:rPr>
                <w:rFonts w:ascii="宋体" w:hAnsi="宋体" w:cs="宋体"/>
                <w:color w:val="auto"/>
                <w:kern w:val="0"/>
                <w:sz w:val="24"/>
                <w:szCs w:val="24"/>
              </w:rPr>
              <w:t>19487.76</w:t>
            </w:r>
          </w:p>
        </w:tc>
        <w:tc>
          <w:tcPr>
            <w:tcW w:w="1355" w:type="dxa"/>
            <w:gridSpan w:val="2"/>
            <w:tcBorders>
              <w:left w:val="single" w:color="auto" w:sz="4" w:space="0"/>
            </w:tcBorders>
            <w:vAlign w:val="center"/>
          </w:tcPr>
          <w:p>
            <w:pPr>
              <w:widowControl/>
              <w:jc w:val="center"/>
              <w:textAlignment w:val="center"/>
              <w:rPr>
                <w:rFonts w:ascii="仿宋_GB2312" w:hAnsi="仿宋_GB2312" w:eastAsia="仿宋_GB2312" w:cs="仿宋_GB2312"/>
                <w:color w:val="auto"/>
                <w:sz w:val="24"/>
              </w:rPr>
            </w:pPr>
            <w:r>
              <w:rPr>
                <w:rFonts w:ascii="宋体" w:hAnsi="宋体" w:cs="宋体"/>
                <w:color w:val="auto"/>
                <w:kern w:val="0"/>
                <w:sz w:val="24"/>
                <w:szCs w:val="24"/>
              </w:rPr>
              <w:t>24647.32</w:t>
            </w:r>
          </w:p>
        </w:tc>
        <w:tc>
          <w:tcPr>
            <w:tcW w:w="1080" w:type="dxa"/>
            <w:gridSpan w:val="2"/>
            <w:vAlign w:val="center"/>
          </w:tcPr>
          <w:p>
            <w:pPr>
              <w:widowControl/>
              <w:jc w:val="center"/>
              <w:textAlignment w:val="center"/>
              <w:rPr>
                <w:rFonts w:ascii="仿宋_GB2312" w:hAnsi="仿宋_GB2312" w:eastAsia="仿宋_GB2312" w:cs="仿宋_GB2312"/>
                <w:color w:val="auto"/>
                <w:sz w:val="24"/>
              </w:rPr>
            </w:pPr>
            <w:r>
              <w:rPr>
                <w:rFonts w:ascii="宋体" w:hAnsi="宋体" w:cs="宋体"/>
                <w:color w:val="auto"/>
                <w:kern w:val="0"/>
                <w:sz w:val="24"/>
                <w:szCs w:val="24"/>
              </w:rPr>
              <w:t>21180.9</w:t>
            </w:r>
          </w:p>
        </w:tc>
        <w:tc>
          <w:tcPr>
            <w:tcW w:w="1580" w:type="dxa"/>
            <w:gridSpan w:val="2"/>
            <w:vAlign w:val="center"/>
          </w:tcPr>
          <w:p>
            <w:pPr>
              <w:widowControl/>
              <w:jc w:val="center"/>
              <w:textAlignment w:val="center"/>
              <w:rPr>
                <w:rFonts w:ascii="仿宋_GB2312" w:hAnsi="仿宋_GB2312" w:eastAsia="仿宋_GB2312" w:cs="仿宋_GB2312"/>
                <w:color w:val="auto"/>
                <w:sz w:val="24"/>
              </w:rPr>
            </w:pPr>
            <w:r>
              <w:rPr>
                <w:rFonts w:ascii="宋体" w:hAnsi="宋体" w:cs="宋体"/>
                <w:color w:val="auto"/>
                <w:kern w:val="0"/>
                <w:sz w:val="24"/>
                <w:szCs w:val="24"/>
              </w:rPr>
              <w:t>3466.42</w:t>
            </w:r>
          </w:p>
        </w:tc>
        <w:tc>
          <w:tcPr>
            <w:tcW w:w="1185" w:type="dxa"/>
            <w:gridSpan w:val="2"/>
            <w:vAlign w:val="center"/>
          </w:tcPr>
          <w:p>
            <w:pPr>
              <w:widowControl/>
              <w:jc w:val="center"/>
              <w:textAlignment w:val="center"/>
              <w:rPr>
                <w:rFonts w:ascii="仿宋_GB2312" w:hAnsi="仿宋_GB2312" w:eastAsia="仿宋_GB2312" w:cs="仿宋_GB2312"/>
                <w:color w:val="auto"/>
                <w:sz w:val="24"/>
              </w:rPr>
            </w:pPr>
            <w:r>
              <w:rPr>
                <w:rFonts w:ascii="宋体" w:hAnsi="宋体" w:cs="宋体"/>
                <w:color w:val="auto"/>
                <w:kern w:val="0"/>
                <w:sz w:val="24"/>
                <w:szCs w:val="24"/>
              </w:rPr>
              <w:t>8688.78</w:t>
            </w:r>
          </w:p>
        </w:tc>
        <w:tc>
          <w:tcPr>
            <w:tcW w:w="1068" w:type="dxa"/>
            <w:gridSpan w:val="3"/>
            <w:tcBorders>
              <w:right w:val="single" w:color="auto" w:sz="4" w:space="0"/>
            </w:tcBorders>
            <w:vAlign w:val="center"/>
          </w:tcPr>
          <w:p>
            <w:pPr>
              <w:widowControl/>
              <w:jc w:val="center"/>
              <w:textAlignment w:val="center"/>
              <w:rPr>
                <w:rFonts w:ascii="仿宋_GB2312" w:hAnsi="仿宋_GB2312" w:eastAsia="仿宋_GB2312" w:cs="仿宋_GB2312"/>
                <w:color w:val="auto"/>
                <w:sz w:val="24"/>
              </w:rPr>
            </w:pPr>
            <w:r>
              <w:rPr>
                <w:rFonts w:ascii="宋体" w:hAnsi="宋体" w:cs="宋体"/>
                <w:color w:val="auto"/>
                <w:kern w:val="0"/>
                <w:sz w:val="24"/>
                <w:szCs w:val="24"/>
              </w:rPr>
              <w:t>-1066.22</w:t>
            </w:r>
          </w:p>
        </w:tc>
        <w:tc>
          <w:tcPr>
            <w:tcW w:w="945" w:type="dxa"/>
            <w:tcBorders>
              <w:left w:val="single" w:color="auto" w:sz="4" w:space="0"/>
            </w:tcBorders>
            <w:vAlign w:val="center"/>
          </w:tcPr>
          <w:p>
            <w:pPr>
              <w:widowControl/>
              <w:jc w:val="center"/>
              <w:textAlignment w:val="center"/>
              <w:rPr>
                <w:rFonts w:ascii="仿宋_GB2312" w:hAnsi="仿宋_GB2312" w:eastAsia="仿宋_GB2312" w:cs="仿宋_GB2312"/>
                <w:color w:val="auto"/>
                <w:sz w:val="24"/>
              </w:rPr>
            </w:pPr>
            <w:r>
              <w:rPr>
                <w:rFonts w:ascii="宋体" w:hAnsi="宋体" w:cs="宋体"/>
                <w:color w:val="auto"/>
                <w:kern w:val="0"/>
                <w:sz w:val="24"/>
                <w:szCs w:val="24"/>
              </w:rPr>
              <w:t>3197.22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auto"/>
                <w:sz w:val="24"/>
              </w:rPr>
            </w:pPr>
            <w:r>
              <w:rPr>
                <w:rFonts w:ascii="仿宋_GB2312" w:hAnsi="仿宋_GB2312" w:eastAsia="仿宋_GB2312" w:cs="仿宋_GB2312"/>
                <w:color w:val="auto"/>
                <w:sz w:val="24"/>
              </w:rPr>
              <w:t>1</w:t>
            </w:r>
            <w:r>
              <w:rPr>
                <w:rFonts w:hint="eastAsia" w:ascii="仿宋_GB2312" w:hAnsi="仿宋_GB2312" w:eastAsia="仿宋_GB2312" w:cs="仿宋_GB2312"/>
                <w:color w:val="auto"/>
                <w:sz w:val="24"/>
              </w:rPr>
              <w:t>、局机关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5931.25</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4764.42</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4124.37</w:t>
            </w:r>
          </w:p>
        </w:tc>
        <w:tc>
          <w:tcPr>
            <w:tcW w:w="1580" w:type="dxa"/>
            <w:gridSpan w:val="2"/>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640.05</w:t>
            </w:r>
          </w:p>
        </w:tc>
        <w:tc>
          <w:tcPr>
            <w:tcW w:w="1185" w:type="dxa"/>
            <w:gridSpan w:val="2"/>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1166.83</w:t>
            </w:r>
          </w:p>
        </w:tc>
        <w:tc>
          <w:tcPr>
            <w:tcW w:w="1068"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-1046.69</w:t>
            </w:r>
          </w:p>
        </w:tc>
        <w:tc>
          <w:tcPr>
            <w:tcW w:w="94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899.76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auto"/>
                <w:sz w:val="24"/>
              </w:rPr>
            </w:pPr>
            <w:r>
              <w:rPr>
                <w:rFonts w:ascii="仿宋_GB2312" w:hAnsi="仿宋_GB2312" w:eastAsia="仿宋_GB2312" w:cs="仿宋_GB2312"/>
                <w:color w:val="auto"/>
                <w:sz w:val="24"/>
              </w:rPr>
              <w:t>2</w:t>
            </w:r>
            <w:r>
              <w:rPr>
                <w:rFonts w:hint="eastAsia" w:ascii="仿宋_GB2312" w:hAnsi="仿宋_GB2312" w:eastAsia="仿宋_GB2312" w:cs="仿宋_GB2312"/>
                <w:color w:val="auto"/>
                <w:sz w:val="24"/>
              </w:rPr>
              <w:t>、岳阳楼分局</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5249.81</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3660.19</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3059.02</w:t>
            </w:r>
          </w:p>
        </w:tc>
        <w:tc>
          <w:tcPr>
            <w:tcW w:w="1580" w:type="dxa"/>
            <w:gridSpan w:val="2"/>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601.17</w:t>
            </w:r>
          </w:p>
        </w:tc>
        <w:tc>
          <w:tcPr>
            <w:tcW w:w="1185" w:type="dxa"/>
            <w:gridSpan w:val="2"/>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1589.62</w:t>
            </w:r>
          </w:p>
        </w:tc>
        <w:tc>
          <w:tcPr>
            <w:tcW w:w="1068"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-82.05</w:t>
            </w:r>
          </w:p>
        </w:tc>
        <w:tc>
          <w:tcPr>
            <w:tcW w:w="94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95.08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auto"/>
                <w:sz w:val="24"/>
              </w:rPr>
            </w:pPr>
            <w:r>
              <w:rPr>
                <w:rFonts w:ascii="仿宋_GB2312" w:hAnsi="仿宋_GB2312" w:eastAsia="仿宋_GB2312" w:cs="仿宋_GB2312"/>
                <w:color w:val="auto"/>
                <w:sz w:val="24"/>
              </w:rPr>
              <w:t>3</w:t>
            </w:r>
            <w:r>
              <w:rPr>
                <w:rFonts w:hint="eastAsia" w:ascii="仿宋_GB2312" w:hAnsi="仿宋_GB2312" w:eastAsia="仿宋_GB2312" w:cs="仿宋_GB2312"/>
                <w:color w:val="auto"/>
                <w:sz w:val="24"/>
              </w:rPr>
              <w:t>、经开区分局</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2300.75</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1834.01</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1608.98</w:t>
            </w:r>
          </w:p>
        </w:tc>
        <w:tc>
          <w:tcPr>
            <w:tcW w:w="1580" w:type="dxa"/>
            <w:gridSpan w:val="2"/>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225.03</w:t>
            </w:r>
          </w:p>
        </w:tc>
        <w:tc>
          <w:tcPr>
            <w:tcW w:w="1185" w:type="dxa"/>
            <w:gridSpan w:val="2"/>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766.74</w:t>
            </w:r>
          </w:p>
        </w:tc>
        <w:tc>
          <w:tcPr>
            <w:tcW w:w="1068"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153.16</w:t>
            </w:r>
          </w:p>
        </w:tc>
        <w:tc>
          <w:tcPr>
            <w:tcW w:w="94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161.29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rPr>
              <w:t>4</w:t>
            </w:r>
            <w:r>
              <w:rPr>
                <w:rFonts w:hint="eastAsia" w:ascii="仿宋_GB2312" w:hAnsi="仿宋_GB2312" w:eastAsia="仿宋_GB2312" w:cs="仿宋_GB2312"/>
                <w:color w:val="auto"/>
                <w:sz w:val="24"/>
              </w:rPr>
              <w:t>、南湖分局</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1045.13</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605.23</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549.28</w:t>
            </w:r>
          </w:p>
        </w:tc>
        <w:tc>
          <w:tcPr>
            <w:tcW w:w="1580" w:type="dxa"/>
            <w:gridSpan w:val="2"/>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55.95</w:t>
            </w:r>
          </w:p>
        </w:tc>
        <w:tc>
          <w:tcPr>
            <w:tcW w:w="1185" w:type="dxa"/>
            <w:gridSpan w:val="2"/>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439.90</w:t>
            </w:r>
          </w:p>
        </w:tc>
        <w:tc>
          <w:tcPr>
            <w:tcW w:w="1068"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r>
              <w:rPr>
                <w:rFonts w:ascii="仿宋_GB2312" w:hAnsi="仿宋_GB2312" w:eastAsia="仿宋_GB2312" w:cs="仿宋_GB2312"/>
                <w:color w:val="auto"/>
                <w:sz w:val="24"/>
              </w:rPr>
              <w:t>150.19</w:t>
            </w:r>
          </w:p>
        </w:tc>
        <w:tc>
          <w:tcPr>
            <w:tcW w:w="94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r>
              <w:rPr>
                <w:rFonts w:ascii="仿宋_GB2312" w:hAnsi="仿宋_GB2312" w:eastAsia="仿宋_GB2312" w:cs="仿宋_GB2312"/>
                <w:color w:val="auto"/>
                <w:sz w:val="24"/>
              </w:rPr>
              <w:t>150.20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rPr>
              <w:t>5</w:t>
            </w:r>
            <w:r>
              <w:rPr>
                <w:rFonts w:hint="eastAsia" w:ascii="仿宋_GB2312" w:hAnsi="仿宋_GB2312" w:eastAsia="仿宋_GB2312" w:cs="仿宋_GB2312"/>
                <w:color w:val="auto"/>
                <w:sz w:val="24"/>
              </w:rPr>
              <w:t>、城陵矶新港区分局</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216.57</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127.02</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111.44</w:t>
            </w:r>
          </w:p>
        </w:tc>
        <w:tc>
          <w:tcPr>
            <w:tcW w:w="1580" w:type="dxa"/>
            <w:gridSpan w:val="2"/>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15.58</w:t>
            </w:r>
          </w:p>
        </w:tc>
        <w:tc>
          <w:tcPr>
            <w:tcW w:w="1185" w:type="dxa"/>
            <w:gridSpan w:val="2"/>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89.55</w:t>
            </w:r>
          </w:p>
        </w:tc>
        <w:tc>
          <w:tcPr>
            <w:tcW w:w="1068"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56.32</w:t>
            </w:r>
          </w:p>
        </w:tc>
        <w:tc>
          <w:tcPr>
            <w:tcW w:w="94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56.32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rPr>
              <w:t>6</w:t>
            </w:r>
            <w:r>
              <w:rPr>
                <w:rFonts w:hint="eastAsia" w:ascii="仿宋_GB2312" w:hAnsi="仿宋_GB2312" w:eastAsia="仿宋_GB2312" w:cs="仿宋_GB2312"/>
                <w:color w:val="auto"/>
                <w:sz w:val="24"/>
              </w:rPr>
              <w:t>、综合行政执法支队</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1624.54</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1332.79</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1137.36</w:t>
            </w:r>
          </w:p>
        </w:tc>
        <w:tc>
          <w:tcPr>
            <w:tcW w:w="1580" w:type="dxa"/>
            <w:gridSpan w:val="2"/>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195.43</w:t>
            </w:r>
          </w:p>
        </w:tc>
        <w:tc>
          <w:tcPr>
            <w:tcW w:w="1185" w:type="dxa"/>
            <w:gridSpan w:val="2"/>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291.75</w:t>
            </w:r>
          </w:p>
        </w:tc>
        <w:tc>
          <w:tcPr>
            <w:tcW w:w="1068"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235.96</w:t>
            </w:r>
          </w:p>
        </w:tc>
        <w:tc>
          <w:tcPr>
            <w:tcW w:w="94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235.96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rPr>
              <w:t>7</w:t>
            </w:r>
            <w:r>
              <w:rPr>
                <w:rFonts w:hint="eastAsia" w:ascii="仿宋_GB2312" w:hAnsi="仿宋_GB2312" w:eastAsia="仿宋_GB2312" w:cs="仿宋_GB2312"/>
                <w:color w:val="auto"/>
                <w:sz w:val="24"/>
              </w:rPr>
              <w:t>、检验检测中心</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3119.71</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1551.63</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1070.37</w:t>
            </w:r>
          </w:p>
        </w:tc>
        <w:tc>
          <w:tcPr>
            <w:tcW w:w="1580" w:type="dxa"/>
            <w:gridSpan w:val="2"/>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481.26</w:t>
            </w:r>
          </w:p>
        </w:tc>
        <w:tc>
          <w:tcPr>
            <w:tcW w:w="1185" w:type="dxa"/>
            <w:gridSpan w:val="2"/>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1568.08</w:t>
            </w:r>
          </w:p>
        </w:tc>
        <w:tc>
          <w:tcPr>
            <w:tcW w:w="1068"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123.21</w:t>
            </w:r>
          </w:p>
        </w:tc>
        <w:tc>
          <w:tcPr>
            <w:tcW w:w="94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r>
              <w:rPr>
                <w:rFonts w:ascii="仿宋_GB2312" w:hAnsi="仿宋_GB2312" w:eastAsia="仿宋_GB2312" w:cs="仿宋_GB2312"/>
                <w:color w:val="auto"/>
                <w:sz w:val="24"/>
              </w:rPr>
              <w:t>123.21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三公经费</w:t>
            </w:r>
          </w:p>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合计</w:t>
            </w:r>
          </w:p>
        </w:tc>
        <w:tc>
          <w:tcPr>
            <w:tcW w:w="7213" w:type="dxa"/>
            <w:gridSpan w:val="1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color w:val="auto"/>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公务用车运维费</w:t>
            </w:r>
          </w:p>
        </w:tc>
        <w:tc>
          <w:tcPr>
            <w:tcW w:w="1580" w:type="dxa"/>
            <w:gridSpan w:val="2"/>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公务用车购置费</w:t>
            </w:r>
          </w:p>
        </w:tc>
        <w:tc>
          <w:tcPr>
            <w:tcW w:w="3198" w:type="dxa"/>
            <w:gridSpan w:val="6"/>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局机关及二级机构汇总</w:t>
            </w:r>
          </w:p>
        </w:tc>
        <w:tc>
          <w:tcPr>
            <w:tcW w:w="1080" w:type="dxa"/>
            <w:tcBorders>
              <w:right w:val="single" w:color="auto" w:sz="4" w:space="0"/>
            </w:tcBorders>
            <w:vAlign w:val="center"/>
          </w:tcPr>
          <w:p>
            <w:pPr>
              <w:widowControl/>
              <w:jc w:val="center"/>
              <w:textAlignment w:val="center"/>
              <w:rPr>
                <w:rFonts w:ascii="仿宋_GB2312" w:hAnsi="仿宋_GB2312" w:eastAsia="仿宋_GB2312" w:cs="仿宋_GB2312"/>
                <w:color w:val="auto"/>
                <w:sz w:val="24"/>
              </w:rPr>
            </w:pPr>
            <w:r>
              <w:rPr>
                <w:rFonts w:ascii="宋体" w:hAnsi="宋体" w:cs="宋体"/>
                <w:color w:val="auto"/>
                <w:kern w:val="0"/>
                <w:sz w:val="24"/>
                <w:szCs w:val="24"/>
              </w:rPr>
              <w:t>181.49</w:t>
            </w:r>
          </w:p>
        </w:tc>
        <w:tc>
          <w:tcPr>
            <w:tcW w:w="1355" w:type="dxa"/>
            <w:gridSpan w:val="2"/>
            <w:tcBorders>
              <w:left w:val="single" w:color="auto" w:sz="4" w:space="0"/>
            </w:tcBorders>
            <w:vAlign w:val="center"/>
          </w:tcPr>
          <w:p>
            <w:pPr>
              <w:widowControl/>
              <w:jc w:val="center"/>
              <w:textAlignment w:val="center"/>
              <w:rPr>
                <w:rFonts w:ascii="仿宋_GB2312" w:hAnsi="仿宋_GB2312" w:eastAsia="仿宋_GB2312" w:cs="仿宋_GB2312"/>
                <w:color w:val="auto"/>
                <w:sz w:val="24"/>
              </w:rPr>
            </w:pPr>
            <w:r>
              <w:rPr>
                <w:rFonts w:ascii="宋体" w:hAnsi="宋体" w:cs="宋体"/>
                <w:color w:val="auto"/>
                <w:kern w:val="0"/>
                <w:sz w:val="24"/>
                <w:szCs w:val="24"/>
              </w:rPr>
              <w:t>36.47</w:t>
            </w:r>
          </w:p>
        </w:tc>
        <w:tc>
          <w:tcPr>
            <w:tcW w:w="1080" w:type="dxa"/>
            <w:gridSpan w:val="2"/>
            <w:vAlign w:val="center"/>
          </w:tcPr>
          <w:p>
            <w:pPr>
              <w:widowControl/>
              <w:jc w:val="center"/>
              <w:textAlignment w:val="center"/>
              <w:rPr>
                <w:rFonts w:ascii="仿宋_GB2312" w:hAnsi="仿宋_GB2312" w:eastAsia="仿宋_GB2312" w:cs="仿宋_GB2312"/>
                <w:color w:val="auto"/>
                <w:sz w:val="24"/>
              </w:rPr>
            </w:pPr>
            <w:r>
              <w:rPr>
                <w:rFonts w:ascii="宋体" w:hAnsi="宋体" w:cs="宋体"/>
                <w:color w:val="auto"/>
                <w:kern w:val="0"/>
                <w:sz w:val="24"/>
                <w:szCs w:val="24"/>
              </w:rPr>
              <w:t>131.15</w:t>
            </w:r>
          </w:p>
        </w:tc>
        <w:tc>
          <w:tcPr>
            <w:tcW w:w="1580" w:type="dxa"/>
            <w:gridSpan w:val="2"/>
            <w:vAlign w:val="center"/>
          </w:tcPr>
          <w:p>
            <w:pPr>
              <w:widowControl/>
              <w:jc w:val="center"/>
              <w:textAlignment w:val="center"/>
              <w:rPr>
                <w:rFonts w:ascii="仿宋_GB2312" w:hAnsi="仿宋_GB2312" w:eastAsia="仿宋_GB2312" w:cs="仿宋_GB2312"/>
                <w:color w:val="auto"/>
                <w:sz w:val="24"/>
              </w:rPr>
            </w:pPr>
            <w:r>
              <w:rPr>
                <w:rFonts w:ascii="宋体" w:hAnsi="宋体" w:cs="宋体"/>
                <w:color w:val="auto"/>
                <w:kern w:val="0"/>
                <w:sz w:val="24"/>
                <w:szCs w:val="24"/>
              </w:rPr>
              <w:t>13.88</w:t>
            </w:r>
          </w:p>
        </w:tc>
        <w:tc>
          <w:tcPr>
            <w:tcW w:w="3198" w:type="dxa"/>
            <w:gridSpan w:val="6"/>
            <w:vAlign w:val="center"/>
          </w:tcPr>
          <w:p>
            <w:pPr>
              <w:widowControl/>
              <w:jc w:val="center"/>
              <w:textAlignment w:val="center"/>
              <w:rPr>
                <w:rFonts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auto"/>
                <w:sz w:val="24"/>
              </w:rPr>
            </w:pPr>
            <w:r>
              <w:rPr>
                <w:rFonts w:ascii="仿宋_GB2312" w:hAnsi="仿宋_GB2312" w:eastAsia="仿宋_GB2312" w:cs="仿宋_GB2312"/>
                <w:color w:val="auto"/>
                <w:sz w:val="24"/>
              </w:rPr>
              <w:t>1</w:t>
            </w:r>
            <w:r>
              <w:rPr>
                <w:rFonts w:hint="eastAsia" w:ascii="仿宋_GB2312" w:hAnsi="仿宋_GB2312" w:eastAsia="仿宋_GB2312" w:cs="仿宋_GB2312"/>
                <w:color w:val="auto"/>
                <w:sz w:val="24"/>
              </w:rPr>
              <w:t>、局机关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41.18</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15.09</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26.09</w:t>
            </w:r>
          </w:p>
        </w:tc>
        <w:tc>
          <w:tcPr>
            <w:tcW w:w="1580" w:type="dxa"/>
            <w:gridSpan w:val="2"/>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0</w:t>
            </w:r>
          </w:p>
        </w:tc>
        <w:tc>
          <w:tcPr>
            <w:tcW w:w="3198" w:type="dxa"/>
            <w:gridSpan w:val="6"/>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auto"/>
                <w:sz w:val="24"/>
              </w:rPr>
            </w:pPr>
            <w:r>
              <w:rPr>
                <w:rFonts w:ascii="仿宋_GB2312" w:hAnsi="仿宋_GB2312" w:eastAsia="仿宋_GB2312" w:cs="仿宋_GB2312"/>
                <w:color w:val="auto"/>
                <w:sz w:val="24"/>
              </w:rPr>
              <w:t>2</w:t>
            </w:r>
            <w:r>
              <w:rPr>
                <w:rFonts w:hint="eastAsia" w:ascii="仿宋_GB2312" w:hAnsi="仿宋_GB2312" w:eastAsia="仿宋_GB2312" w:cs="仿宋_GB2312"/>
                <w:color w:val="auto"/>
                <w:sz w:val="24"/>
              </w:rPr>
              <w:t>、岳阳楼分局</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27.05</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3.24</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23.81</w:t>
            </w:r>
          </w:p>
        </w:tc>
        <w:tc>
          <w:tcPr>
            <w:tcW w:w="1580" w:type="dxa"/>
            <w:gridSpan w:val="2"/>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0</w:t>
            </w:r>
          </w:p>
        </w:tc>
        <w:tc>
          <w:tcPr>
            <w:tcW w:w="3198" w:type="dxa"/>
            <w:gridSpan w:val="6"/>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auto"/>
                <w:sz w:val="24"/>
              </w:rPr>
            </w:pPr>
            <w:r>
              <w:rPr>
                <w:rFonts w:ascii="仿宋_GB2312" w:hAnsi="仿宋_GB2312" w:eastAsia="仿宋_GB2312" w:cs="仿宋_GB2312"/>
                <w:color w:val="auto"/>
                <w:sz w:val="24"/>
              </w:rPr>
              <w:t>3</w:t>
            </w:r>
            <w:r>
              <w:rPr>
                <w:rFonts w:hint="eastAsia" w:ascii="仿宋_GB2312" w:hAnsi="仿宋_GB2312" w:eastAsia="仿宋_GB2312" w:cs="仿宋_GB2312"/>
                <w:color w:val="auto"/>
                <w:sz w:val="24"/>
              </w:rPr>
              <w:t>、经开区分局</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27.53</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3.69</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23.84</w:t>
            </w:r>
          </w:p>
        </w:tc>
        <w:tc>
          <w:tcPr>
            <w:tcW w:w="1580" w:type="dxa"/>
            <w:gridSpan w:val="2"/>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0</w:t>
            </w:r>
          </w:p>
        </w:tc>
        <w:tc>
          <w:tcPr>
            <w:tcW w:w="3198" w:type="dxa"/>
            <w:gridSpan w:val="6"/>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rPr>
              <w:t>4</w:t>
            </w:r>
            <w:r>
              <w:rPr>
                <w:rFonts w:hint="eastAsia" w:ascii="仿宋_GB2312" w:hAnsi="仿宋_GB2312" w:eastAsia="仿宋_GB2312" w:cs="仿宋_GB2312"/>
                <w:color w:val="auto"/>
                <w:sz w:val="24"/>
              </w:rPr>
              <w:t>、南湖分局</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11.84</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3.04</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8.80</w:t>
            </w:r>
          </w:p>
        </w:tc>
        <w:tc>
          <w:tcPr>
            <w:tcW w:w="1580" w:type="dxa"/>
            <w:gridSpan w:val="2"/>
            <w:vAlign w:val="center"/>
          </w:tcPr>
          <w:p>
            <w:pPr>
              <w:autoSpaceDN w:val="0"/>
              <w:spacing w:line="320" w:lineRule="exact"/>
              <w:jc w:val="center"/>
              <w:textAlignment w:val="center"/>
              <w:rPr>
                <w:rFonts w:ascii="仿宋_GB2312" w:hAnsi="仿宋_GB2312" w:eastAsia="仿宋_GB2312" w:cs="仿宋_GB2312"/>
                <w:color w:val="auto"/>
                <w:sz w:val="24"/>
              </w:rPr>
            </w:pPr>
          </w:p>
        </w:tc>
        <w:tc>
          <w:tcPr>
            <w:tcW w:w="3198" w:type="dxa"/>
            <w:gridSpan w:val="6"/>
            <w:vAlign w:val="center"/>
          </w:tcPr>
          <w:p>
            <w:pPr>
              <w:autoSpaceDN w:val="0"/>
              <w:spacing w:line="320" w:lineRule="exact"/>
              <w:jc w:val="center"/>
              <w:textAlignment w:val="center"/>
              <w:rPr>
                <w:rFonts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rPr>
              <w:t>5</w:t>
            </w:r>
            <w:r>
              <w:rPr>
                <w:rFonts w:hint="eastAsia" w:ascii="仿宋_GB2312" w:hAnsi="仿宋_GB2312" w:eastAsia="仿宋_GB2312" w:cs="仿宋_GB2312"/>
                <w:color w:val="auto"/>
                <w:sz w:val="24"/>
              </w:rPr>
              <w:t>、城陵矶新港区分局</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5.36</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0.55</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4.81</w:t>
            </w:r>
          </w:p>
        </w:tc>
        <w:tc>
          <w:tcPr>
            <w:tcW w:w="1580" w:type="dxa"/>
            <w:gridSpan w:val="2"/>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0</w:t>
            </w:r>
          </w:p>
        </w:tc>
        <w:tc>
          <w:tcPr>
            <w:tcW w:w="3198" w:type="dxa"/>
            <w:gridSpan w:val="6"/>
            <w:vAlign w:val="center"/>
          </w:tcPr>
          <w:p>
            <w:pPr>
              <w:autoSpaceDN w:val="0"/>
              <w:spacing w:line="320" w:lineRule="exact"/>
              <w:jc w:val="center"/>
              <w:textAlignment w:val="center"/>
              <w:rPr>
                <w:rFonts w:ascii="仿宋_GB2312" w:hAnsi="仿宋_GB2312" w:eastAsia="仿宋_GB2312" w:cs="仿宋_GB2312"/>
                <w:color w:val="auto"/>
                <w:sz w:val="24"/>
              </w:rPr>
            </w:pPr>
            <w:r>
              <w:rPr>
                <w:rFonts w:ascii="仿宋_GB2312" w:hAnsi="仿宋_GB2312" w:eastAsia="仿宋_GB2312" w:cs="仿宋_GB2312"/>
                <w:color w:val="auto"/>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rPr>
              <w:t>6</w:t>
            </w:r>
            <w:r>
              <w:rPr>
                <w:rFonts w:hint="eastAsia" w:ascii="仿宋_GB2312" w:hAnsi="仿宋_GB2312" w:eastAsia="仿宋_GB2312" w:cs="仿宋_GB2312"/>
                <w:color w:val="auto"/>
                <w:sz w:val="24"/>
              </w:rPr>
              <w:t>、综合行政执法支队</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27.93</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6.05</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21.88</w:t>
            </w:r>
          </w:p>
        </w:tc>
        <w:tc>
          <w:tcPr>
            <w:tcW w:w="1580" w:type="dxa"/>
            <w:gridSpan w:val="2"/>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0</w:t>
            </w:r>
          </w:p>
        </w:tc>
        <w:tc>
          <w:tcPr>
            <w:tcW w:w="3198" w:type="dxa"/>
            <w:gridSpan w:val="6"/>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auto"/>
                <w:sz w:val="24"/>
                <w:szCs w:val="24"/>
              </w:rPr>
            </w:pPr>
            <w:r>
              <w:rPr>
                <w:rFonts w:ascii="仿宋_GB2312" w:hAnsi="仿宋_GB2312" w:eastAsia="仿宋_GB2312" w:cs="仿宋_GB2312"/>
                <w:color w:val="auto"/>
                <w:sz w:val="24"/>
              </w:rPr>
              <w:t>7</w:t>
            </w:r>
            <w:r>
              <w:rPr>
                <w:rFonts w:hint="eastAsia" w:ascii="仿宋_GB2312" w:hAnsi="仿宋_GB2312" w:eastAsia="仿宋_GB2312" w:cs="仿宋_GB2312"/>
                <w:color w:val="auto"/>
                <w:sz w:val="24"/>
              </w:rPr>
              <w:t>、检验检测中心</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40.60</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4.81</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21.92</w:t>
            </w:r>
          </w:p>
        </w:tc>
        <w:tc>
          <w:tcPr>
            <w:tcW w:w="1580" w:type="dxa"/>
            <w:gridSpan w:val="2"/>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13.88</w:t>
            </w:r>
          </w:p>
        </w:tc>
        <w:tc>
          <w:tcPr>
            <w:tcW w:w="3198" w:type="dxa"/>
            <w:gridSpan w:val="6"/>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固定资产</w:t>
            </w:r>
          </w:p>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合计</w:t>
            </w:r>
          </w:p>
        </w:tc>
        <w:tc>
          <w:tcPr>
            <w:tcW w:w="6079" w:type="dxa"/>
            <w:gridSpan w:val="10"/>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其中：</w:t>
            </w:r>
          </w:p>
        </w:tc>
        <w:tc>
          <w:tcPr>
            <w:tcW w:w="1134"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color w:val="auto"/>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在用固定资产</w:t>
            </w:r>
          </w:p>
        </w:tc>
        <w:tc>
          <w:tcPr>
            <w:tcW w:w="3644" w:type="dxa"/>
            <w:gridSpan w:val="6"/>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出租固定资产</w:t>
            </w:r>
          </w:p>
        </w:tc>
        <w:tc>
          <w:tcPr>
            <w:tcW w:w="1134"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r>
              <w:rPr>
                <w:rFonts w:ascii="仿宋_GB2312" w:hAnsi="仿宋_GB2312" w:eastAsia="仿宋_GB2312" w:cs="仿宋_GB2312"/>
                <w:color w:val="auto"/>
                <w:sz w:val="24"/>
              </w:rPr>
              <w:t>8643.05</w:t>
            </w: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r>
              <w:rPr>
                <w:rFonts w:ascii="仿宋_GB2312" w:hAnsi="仿宋_GB2312" w:eastAsia="仿宋_GB2312" w:cs="仿宋_GB2312"/>
                <w:color w:val="auto"/>
                <w:sz w:val="24"/>
              </w:rPr>
              <w:t>8643.05</w:t>
            </w:r>
          </w:p>
        </w:tc>
        <w:tc>
          <w:tcPr>
            <w:tcW w:w="3644" w:type="dxa"/>
            <w:gridSpan w:val="6"/>
            <w:vAlign w:val="center"/>
          </w:tcPr>
          <w:p>
            <w:pPr>
              <w:autoSpaceDN w:val="0"/>
              <w:spacing w:line="320" w:lineRule="exact"/>
              <w:jc w:val="center"/>
              <w:textAlignment w:val="center"/>
              <w:rPr>
                <w:rFonts w:ascii="仿宋_GB2312" w:hAnsi="仿宋_GB2312" w:eastAsia="仿宋_GB2312" w:cs="仿宋_GB2312"/>
                <w:color w:val="auto"/>
                <w:sz w:val="24"/>
              </w:rPr>
            </w:pPr>
          </w:p>
        </w:tc>
        <w:tc>
          <w:tcPr>
            <w:tcW w:w="1134" w:type="dxa"/>
            <w:gridSpan w:val="2"/>
            <w:vAlign w:val="center"/>
          </w:tcPr>
          <w:p>
            <w:pPr>
              <w:autoSpaceDN w:val="0"/>
              <w:spacing w:line="320" w:lineRule="exact"/>
              <w:jc w:val="center"/>
              <w:textAlignment w:val="center"/>
              <w:rPr>
                <w:rFonts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auto"/>
                <w:sz w:val="24"/>
              </w:rPr>
            </w:pPr>
            <w:r>
              <w:rPr>
                <w:rFonts w:ascii="仿宋_GB2312" w:hAnsi="仿宋_GB2312" w:eastAsia="仿宋_GB2312" w:cs="仿宋_GB2312"/>
                <w:color w:val="auto"/>
                <w:sz w:val="24"/>
              </w:rPr>
              <w:t>1</w:t>
            </w:r>
            <w:r>
              <w:rPr>
                <w:rFonts w:hint="eastAsia" w:ascii="仿宋_GB2312" w:hAnsi="仿宋_GB2312" w:eastAsia="仿宋_GB2312" w:cs="仿宋_GB2312"/>
                <w:color w:val="auto"/>
                <w:sz w:val="24"/>
              </w:rPr>
              <w:t>、局机关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3131.94</w:t>
            </w: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3131.94</w:t>
            </w:r>
          </w:p>
        </w:tc>
        <w:tc>
          <w:tcPr>
            <w:tcW w:w="3644" w:type="dxa"/>
            <w:gridSpan w:val="6"/>
            <w:vAlign w:val="center"/>
          </w:tcPr>
          <w:p>
            <w:pPr>
              <w:autoSpaceDN w:val="0"/>
              <w:spacing w:line="320" w:lineRule="exact"/>
              <w:jc w:val="center"/>
              <w:textAlignment w:val="center"/>
              <w:rPr>
                <w:rFonts w:ascii="仿宋_GB2312" w:hAnsi="仿宋_GB2312" w:eastAsia="仿宋_GB2312" w:cs="仿宋_GB2312"/>
                <w:color w:val="auto"/>
                <w:sz w:val="24"/>
              </w:rPr>
            </w:pPr>
            <w:r>
              <w:rPr>
                <w:rFonts w:ascii="仿宋_GB2312" w:hAnsi="仿宋_GB2312" w:eastAsia="仿宋_GB2312" w:cs="仿宋_GB2312"/>
                <w:color w:val="auto"/>
                <w:sz w:val="24"/>
              </w:rPr>
              <w:t>0</w:t>
            </w:r>
          </w:p>
        </w:tc>
        <w:tc>
          <w:tcPr>
            <w:tcW w:w="1134" w:type="dxa"/>
            <w:gridSpan w:val="2"/>
            <w:vAlign w:val="center"/>
          </w:tcPr>
          <w:p>
            <w:pPr>
              <w:autoSpaceDN w:val="0"/>
              <w:spacing w:line="320" w:lineRule="exact"/>
              <w:jc w:val="center"/>
              <w:textAlignment w:val="center"/>
              <w:rPr>
                <w:rFonts w:ascii="仿宋_GB2312" w:hAnsi="仿宋_GB2312" w:eastAsia="仿宋_GB2312" w:cs="仿宋_GB2312"/>
                <w:color w:val="auto"/>
                <w:sz w:val="24"/>
              </w:rPr>
            </w:pPr>
            <w:r>
              <w:rPr>
                <w:rFonts w:ascii="仿宋_GB2312" w:hAnsi="仿宋_GB2312" w:eastAsia="仿宋_GB2312" w:cs="仿宋_GB2312"/>
                <w:color w:val="auto"/>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auto"/>
                <w:sz w:val="24"/>
              </w:rPr>
            </w:pPr>
            <w:r>
              <w:rPr>
                <w:rFonts w:ascii="仿宋_GB2312" w:hAnsi="仿宋_GB2312" w:eastAsia="仿宋_GB2312" w:cs="仿宋_GB2312"/>
                <w:color w:val="auto"/>
                <w:sz w:val="24"/>
              </w:rPr>
              <w:t>2</w:t>
            </w:r>
            <w:r>
              <w:rPr>
                <w:rFonts w:hint="eastAsia" w:ascii="仿宋_GB2312" w:hAnsi="仿宋_GB2312" w:eastAsia="仿宋_GB2312" w:cs="仿宋_GB2312"/>
                <w:color w:val="auto"/>
                <w:sz w:val="24"/>
              </w:rPr>
              <w:t>、岳阳楼分局</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1344.35</w:t>
            </w: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1344.35</w:t>
            </w:r>
          </w:p>
        </w:tc>
        <w:tc>
          <w:tcPr>
            <w:tcW w:w="3644" w:type="dxa"/>
            <w:gridSpan w:val="6"/>
            <w:vAlign w:val="center"/>
          </w:tcPr>
          <w:p>
            <w:pPr>
              <w:autoSpaceDN w:val="0"/>
              <w:spacing w:line="320" w:lineRule="exact"/>
              <w:jc w:val="center"/>
              <w:textAlignment w:val="center"/>
              <w:rPr>
                <w:rFonts w:ascii="仿宋_GB2312" w:hAnsi="仿宋_GB2312" w:eastAsia="仿宋_GB2312" w:cs="仿宋_GB2312"/>
                <w:color w:val="auto"/>
                <w:sz w:val="24"/>
              </w:rPr>
            </w:pPr>
            <w:r>
              <w:rPr>
                <w:rFonts w:ascii="仿宋_GB2312" w:hAnsi="仿宋_GB2312" w:eastAsia="仿宋_GB2312" w:cs="仿宋_GB2312"/>
                <w:color w:val="auto"/>
                <w:sz w:val="24"/>
              </w:rPr>
              <w:t>0</w:t>
            </w:r>
          </w:p>
        </w:tc>
        <w:tc>
          <w:tcPr>
            <w:tcW w:w="1134" w:type="dxa"/>
            <w:gridSpan w:val="2"/>
            <w:vAlign w:val="center"/>
          </w:tcPr>
          <w:p>
            <w:pPr>
              <w:autoSpaceDN w:val="0"/>
              <w:spacing w:line="320" w:lineRule="exact"/>
              <w:jc w:val="center"/>
              <w:textAlignment w:val="center"/>
              <w:rPr>
                <w:rFonts w:ascii="仿宋_GB2312" w:hAnsi="仿宋_GB2312" w:eastAsia="仿宋_GB2312" w:cs="仿宋_GB2312"/>
                <w:color w:val="auto"/>
                <w:sz w:val="24"/>
              </w:rPr>
            </w:pPr>
            <w:r>
              <w:rPr>
                <w:rFonts w:ascii="仿宋_GB2312" w:hAnsi="仿宋_GB2312" w:eastAsia="仿宋_GB2312" w:cs="仿宋_GB2312"/>
                <w:color w:val="auto"/>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auto"/>
                <w:sz w:val="24"/>
              </w:rPr>
            </w:pPr>
            <w:r>
              <w:rPr>
                <w:rFonts w:ascii="仿宋_GB2312" w:hAnsi="仿宋_GB2312" w:eastAsia="仿宋_GB2312" w:cs="仿宋_GB2312"/>
                <w:color w:val="auto"/>
                <w:sz w:val="24"/>
              </w:rPr>
              <w:t>3</w:t>
            </w:r>
            <w:r>
              <w:rPr>
                <w:rFonts w:hint="eastAsia" w:ascii="仿宋_GB2312" w:hAnsi="仿宋_GB2312" w:eastAsia="仿宋_GB2312" w:cs="仿宋_GB2312"/>
                <w:color w:val="auto"/>
                <w:sz w:val="24"/>
              </w:rPr>
              <w:t>、经开区分局</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588.79</w:t>
            </w: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588.79</w:t>
            </w:r>
          </w:p>
        </w:tc>
        <w:tc>
          <w:tcPr>
            <w:tcW w:w="3644" w:type="dxa"/>
            <w:gridSpan w:val="6"/>
            <w:vAlign w:val="center"/>
          </w:tcPr>
          <w:p>
            <w:pPr>
              <w:autoSpaceDN w:val="0"/>
              <w:spacing w:line="320" w:lineRule="exact"/>
              <w:jc w:val="center"/>
              <w:textAlignment w:val="center"/>
              <w:rPr>
                <w:rFonts w:ascii="仿宋_GB2312" w:hAnsi="仿宋_GB2312" w:eastAsia="仿宋_GB2312" w:cs="仿宋_GB2312"/>
                <w:color w:val="auto"/>
                <w:sz w:val="24"/>
              </w:rPr>
            </w:pPr>
            <w:r>
              <w:rPr>
                <w:rFonts w:ascii="仿宋_GB2312" w:hAnsi="仿宋_GB2312" w:eastAsia="仿宋_GB2312" w:cs="仿宋_GB2312"/>
                <w:color w:val="auto"/>
                <w:sz w:val="24"/>
              </w:rPr>
              <w:t>0</w:t>
            </w:r>
          </w:p>
        </w:tc>
        <w:tc>
          <w:tcPr>
            <w:tcW w:w="1134" w:type="dxa"/>
            <w:gridSpan w:val="2"/>
            <w:vAlign w:val="center"/>
          </w:tcPr>
          <w:p>
            <w:pPr>
              <w:autoSpaceDN w:val="0"/>
              <w:spacing w:line="320" w:lineRule="exact"/>
              <w:jc w:val="center"/>
              <w:textAlignment w:val="center"/>
              <w:rPr>
                <w:rFonts w:ascii="仿宋_GB2312" w:hAnsi="仿宋_GB2312" w:eastAsia="仿宋_GB2312" w:cs="仿宋_GB2312"/>
                <w:color w:val="auto"/>
                <w:sz w:val="24"/>
              </w:rPr>
            </w:pPr>
            <w:r>
              <w:rPr>
                <w:rFonts w:ascii="仿宋_GB2312" w:hAnsi="仿宋_GB2312" w:eastAsia="仿宋_GB2312" w:cs="仿宋_GB2312"/>
                <w:color w:val="auto"/>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auto"/>
                <w:sz w:val="24"/>
              </w:rPr>
            </w:pPr>
            <w:r>
              <w:rPr>
                <w:rFonts w:ascii="仿宋_GB2312" w:hAnsi="仿宋_GB2312" w:eastAsia="仿宋_GB2312" w:cs="仿宋_GB2312"/>
                <w:color w:val="auto"/>
                <w:sz w:val="24"/>
              </w:rPr>
              <w:t>4</w:t>
            </w:r>
            <w:r>
              <w:rPr>
                <w:rFonts w:hint="eastAsia" w:ascii="仿宋_GB2312" w:hAnsi="仿宋_GB2312" w:eastAsia="仿宋_GB2312" w:cs="仿宋_GB2312"/>
                <w:color w:val="auto"/>
                <w:sz w:val="24"/>
              </w:rPr>
              <w:t>、南湖分局</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39.03</w:t>
            </w: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39.03</w:t>
            </w:r>
          </w:p>
        </w:tc>
        <w:tc>
          <w:tcPr>
            <w:tcW w:w="3644" w:type="dxa"/>
            <w:gridSpan w:val="6"/>
            <w:vAlign w:val="center"/>
          </w:tcPr>
          <w:p>
            <w:pPr>
              <w:autoSpaceDN w:val="0"/>
              <w:spacing w:line="320" w:lineRule="exact"/>
              <w:jc w:val="center"/>
              <w:textAlignment w:val="center"/>
              <w:rPr>
                <w:rFonts w:ascii="仿宋_GB2312" w:hAnsi="仿宋_GB2312" w:eastAsia="仿宋_GB2312" w:cs="仿宋_GB2312"/>
                <w:color w:val="auto"/>
                <w:sz w:val="24"/>
              </w:rPr>
            </w:pPr>
            <w:r>
              <w:rPr>
                <w:rFonts w:ascii="仿宋_GB2312" w:hAnsi="仿宋_GB2312" w:eastAsia="仿宋_GB2312" w:cs="仿宋_GB2312"/>
                <w:color w:val="auto"/>
                <w:sz w:val="24"/>
              </w:rPr>
              <w:t>0</w:t>
            </w:r>
          </w:p>
        </w:tc>
        <w:tc>
          <w:tcPr>
            <w:tcW w:w="1134" w:type="dxa"/>
            <w:gridSpan w:val="2"/>
            <w:vAlign w:val="center"/>
          </w:tcPr>
          <w:p>
            <w:pPr>
              <w:autoSpaceDN w:val="0"/>
              <w:spacing w:line="320" w:lineRule="exact"/>
              <w:jc w:val="center"/>
              <w:textAlignment w:val="center"/>
              <w:rPr>
                <w:rFonts w:ascii="仿宋_GB2312" w:hAnsi="仿宋_GB2312" w:eastAsia="仿宋_GB2312" w:cs="仿宋_GB2312"/>
                <w:color w:val="auto"/>
                <w:sz w:val="24"/>
              </w:rPr>
            </w:pPr>
            <w:r>
              <w:rPr>
                <w:rFonts w:ascii="仿宋_GB2312" w:hAnsi="仿宋_GB2312" w:eastAsia="仿宋_GB2312" w:cs="仿宋_GB2312"/>
                <w:color w:val="auto"/>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auto"/>
                <w:sz w:val="24"/>
              </w:rPr>
            </w:pPr>
            <w:r>
              <w:rPr>
                <w:rFonts w:ascii="仿宋_GB2312" w:hAnsi="仿宋_GB2312" w:eastAsia="仿宋_GB2312" w:cs="仿宋_GB2312"/>
                <w:color w:val="auto"/>
                <w:sz w:val="24"/>
              </w:rPr>
              <w:t>5</w:t>
            </w:r>
            <w:r>
              <w:rPr>
                <w:rFonts w:hint="eastAsia" w:ascii="仿宋_GB2312" w:hAnsi="仿宋_GB2312" w:eastAsia="仿宋_GB2312" w:cs="仿宋_GB2312"/>
                <w:color w:val="auto"/>
                <w:sz w:val="24"/>
              </w:rPr>
              <w:t>、城陵矶新港区分局</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5.64</w:t>
            </w: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5.64</w:t>
            </w:r>
          </w:p>
        </w:tc>
        <w:tc>
          <w:tcPr>
            <w:tcW w:w="3644" w:type="dxa"/>
            <w:gridSpan w:val="6"/>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0</w:t>
            </w:r>
          </w:p>
        </w:tc>
        <w:tc>
          <w:tcPr>
            <w:tcW w:w="1134" w:type="dxa"/>
            <w:gridSpan w:val="2"/>
            <w:vAlign w:val="center"/>
          </w:tcPr>
          <w:p>
            <w:pPr>
              <w:autoSpaceDN w:val="0"/>
              <w:spacing w:line="320" w:lineRule="exact"/>
              <w:jc w:val="center"/>
              <w:textAlignment w:val="center"/>
              <w:rPr>
                <w:rFonts w:ascii="仿宋_GB2312" w:hAnsi="仿宋_GB2312" w:eastAsia="仿宋_GB2312" w:cs="仿宋_GB2312"/>
                <w:color w:val="auto"/>
                <w:sz w:val="24"/>
              </w:rPr>
            </w:pPr>
            <w:r>
              <w:rPr>
                <w:rFonts w:ascii="仿宋_GB2312" w:hAnsi="仿宋_GB2312" w:eastAsia="仿宋_GB2312" w:cs="仿宋_GB2312"/>
                <w:color w:val="auto"/>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auto"/>
                <w:sz w:val="24"/>
              </w:rPr>
            </w:pPr>
            <w:r>
              <w:rPr>
                <w:rFonts w:ascii="仿宋_GB2312" w:hAnsi="仿宋_GB2312" w:eastAsia="仿宋_GB2312" w:cs="仿宋_GB2312"/>
                <w:color w:val="auto"/>
                <w:sz w:val="24"/>
              </w:rPr>
              <w:t>6</w:t>
            </w:r>
            <w:r>
              <w:rPr>
                <w:rFonts w:hint="eastAsia" w:ascii="仿宋_GB2312" w:hAnsi="仿宋_GB2312" w:eastAsia="仿宋_GB2312" w:cs="仿宋_GB2312"/>
                <w:color w:val="auto"/>
                <w:sz w:val="24"/>
              </w:rPr>
              <w:t>、综合行政执法支队</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35.52</w:t>
            </w: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35.52</w:t>
            </w:r>
          </w:p>
        </w:tc>
        <w:tc>
          <w:tcPr>
            <w:tcW w:w="3644" w:type="dxa"/>
            <w:gridSpan w:val="6"/>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0</w:t>
            </w:r>
          </w:p>
        </w:tc>
        <w:tc>
          <w:tcPr>
            <w:tcW w:w="1134" w:type="dxa"/>
            <w:gridSpan w:val="2"/>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auto"/>
                <w:sz w:val="24"/>
              </w:rPr>
            </w:pPr>
            <w:r>
              <w:rPr>
                <w:rFonts w:ascii="仿宋_GB2312" w:hAnsi="仿宋_GB2312" w:eastAsia="仿宋_GB2312" w:cs="仿宋_GB2312"/>
                <w:color w:val="auto"/>
                <w:sz w:val="24"/>
              </w:rPr>
              <w:t>7</w:t>
            </w:r>
            <w:r>
              <w:rPr>
                <w:rFonts w:hint="eastAsia" w:ascii="仿宋_GB2312" w:hAnsi="仿宋_GB2312" w:eastAsia="仿宋_GB2312" w:cs="仿宋_GB2312"/>
                <w:color w:val="auto"/>
                <w:sz w:val="24"/>
              </w:rPr>
              <w:t>、检验检测中心</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3497.78</w:t>
            </w: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rPr>
              <w:t>3497.78</w:t>
            </w:r>
          </w:p>
        </w:tc>
        <w:tc>
          <w:tcPr>
            <w:tcW w:w="3644" w:type="dxa"/>
            <w:gridSpan w:val="6"/>
            <w:vAlign w:val="center"/>
          </w:tcPr>
          <w:p>
            <w:pPr>
              <w:autoSpaceDN w:val="0"/>
              <w:spacing w:line="320" w:lineRule="exact"/>
              <w:jc w:val="center"/>
              <w:textAlignment w:val="center"/>
              <w:rPr>
                <w:rFonts w:ascii="仿宋_GB2312" w:hAnsi="仿宋_GB2312" w:eastAsia="仿宋_GB2312" w:cs="仿宋_GB2312"/>
                <w:color w:val="auto"/>
                <w:sz w:val="24"/>
              </w:rPr>
            </w:pPr>
          </w:p>
        </w:tc>
        <w:tc>
          <w:tcPr>
            <w:tcW w:w="1134" w:type="dxa"/>
            <w:gridSpan w:val="2"/>
            <w:vAlign w:val="center"/>
          </w:tcPr>
          <w:p>
            <w:pPr>
              <w:autoSpaceDN w:val="0"/>
              <w:spacing w:line="320" w:lineRule="exact"/>
              <w:jc w:val="center"/>
              <w:textAlignment w:val="center"/>
              <w:rPr>
                <w:rFonts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93" w:type="dxa"/>
            <w:gridSpan w:val="16"/>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黑体" w:hAnsi="黑体" w:eastAsia="黑体" w:cs="黑体"/>
                <w:color w:val="auto"/>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预期目标</w:t>
            </w:r>
          </w:p>
        </w:tc>
        <w:tc>
          <w:tcPr>
            <w:tcW w:w="4778" w:type="dxa"/>
            <w:gridSpan w:val="8"/>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25" w:hRule="atLeast"/>
          <w:jc w:val="center"/>
        </w:trPr>
        <w:tc>
          <w:tcPr>
            <w:tcW w:w="1441" w:type="dxa"/>
            <w:vMerge w:val="continue"/>
            <w:vAlign w:val="center"/>
          </w:tcPr>
          <w:p>
            <w:pPr>
              <w:spacing w:line="320" w:lineRule="exact"/>
              <w:rPr>
                <w:rFonts w:ascii="仿宋_GB2312" w:hAnsi="仿宋_GB2312" w:eastAsia="仿宋_GB2312" w:cs="仿宋_GB2312"/>
                <w:color w:val="auto"/>
                <w:sz w:val="24"/>
              </w:rPr>
            </w:pPr>
          </w:p>
        </w:tc>
        <w:tc>
          <w:tcPr>
            <w:tcW w:w="3774" w:type="dxa"/>
            <w:gridSpan w:val="7"/>
            <w:vAlign w:val="center"/>
          </w:tcPr>
          <w:p>
            <w:pPr>
              <w:autoSpaceDN w:val="0"/>
              <w:spacing w:line="320" w:lineRule="exact"/>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目标</w:t>
            </w:r>
            <w:r>
              <w:rPr>
                <w:rFonts w:ascii="仿宋_GB2312" w:hAnsi="仿宋_GB2312" w:eastAsia="仿宋_GB2312" w:cs="仿宋_GB2312"/>
                <w:color w:val="auto"/>
                <w:sz w:val="24"/>
              </w:rPr>
              <w:t>1</w:t>
            </w:r>
            <w:r>
              <w:rPr>
                <w:rFonts w:hint="eastAsia" w:ascii="仿宋_GB2312" w:hAnsi="仿宋_GB2312" w:eastAsia="仿宋_GB2312" w:cs="仿宋_GB2312"/>
                <w:color w:val="auto"/>
                <w:sz w:val="24"/>
              </w:rPr>
              <w:t>：加大惠企力度，持续优化营商环境</w:t>
            </w:r>
          </w:p>
          <w:p>
            <w:pPr>
              <w:autoSpaceDN w:val="0"/>
              <w:spacing w:line="320" w:lineRule="exact"/>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rPr>
              <w:t>目标</w:t>
            </w:r>
            <w:r>
              <w:rPr>
                <w:rFonts w:ascii="仿宋_GB2312" w:hAnsi="仿宋_GB2312" w:eastAsia="仿宋_GB2312" w:cs="仿宋_GB2312"/>
                <w:color w:val="auto"/>
                <w:sz w:val="24"/>
              </w:rPr>
              <w:t>2</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szCs w:val="24"/>
              </w:rPr>
              <w:t>做好长江流域禁捕退捕工作</w:t>
            </w:r>
          </w:p>
          <w:p>
            <w:pPr>
              <w:autoSpaceDN w:val="0"/>
              <w:spacing w:line="360" w:lineRule="auto"/>
              <w:ind w:left="31680" w:hanging="720" w:hangingChars="300"/>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rPr>
              <w:t>目标</w:t>
            </w:r>
            <w:r>
              <w:rPr>
                <w:rFonts w:ascii="仿宋_GB2312" w:hAnsi="仿宋_GB2312" w:eastAsia="仿宋_GB2312" w:cs="仿宋_GB2312"/>
                <w:color w:val="auto"/>
                <w:sz w:val="24"/>
              </w:rPr>
              <w:t>3</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szCs w:val="24"/>
              </w:rPr>
              <w:t>守住市场安全的底线。</w:t>
            </w:r>
          </w:p>
          <w:p>
            <w:pPr>
              <w:autoSpaceDN w:val="0"/>
              <w:spacing w:line="320" w:lineRule="exact"/>
              <w:jc w:val="left"/>
              <w:textAlignment w:val="center"/>
              <w:rPr>
                <w:rFonts w:ascii="仿宋_GB2312" w:hAnsi="仿宋_GB2312" w:eastAsia="仿宋_GB2312" w:cs="仿宋_GB2312"/>
                <w:color w:val="auto"/>
                <w:sz w:val="24"/>
              </w:rPr>
            </w:pPr>
          </w:p>
        </w:tc>
        <w:tc>
          <w:tcPr>
            <w:tcW w:w="4778" w:type="dxa"/>
            <w:gridSpan w:val="8"/>
            <w:vAlign w:val="center"/>
          </w:tcPr>
          <w:p>
            <w:pPr>
              <w:numPr>
                <w:ilvl w:val="0"/>
                <w:numId w:val="3"/>
              </w:numPr>
              <w:autoSpaceDN w:val="0"/>
              <w:spacing w:line="320" w:lineRule="exac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高标准完成了在国家营商环境评估中市市场监管局承担的企业开办与注销、知识产权创造保护和运营、市场监管三项牵头指标测评工作。</w:t>
            </w:r>
          </w:p>
          <w:p>
            <w:pPr>
              <w:numPr>
                <w:ilvl w:val="0"/>
                <w:numId w:val="3"/>
              </w:numPr>
              <w:autoSpaceDN w:val="0"/>
              <w:spacing w:line="320" w:lineRule="exac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重点抓好长江、洞庭湖野生鱼批发、销售、消费环节</w:t>
            </w:r>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rPr>
              <w:t>加大宣传、检查打击力度，入选全国市场监管部门“长江禁捕打非断链”专项行动十大典型案例两起。</w:t>
            </w:r>
          </w:p>
          <w:p>
            <w:pPr>
              <w:numPr>
                <w:ilvl w:val="0"/>
                <w:numId w:val="3"/>
              </w:numPr>
              <w:autoSpaceDN w:val="0"/>
              <w:spacing w:line="320" w:lineRule="exac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未发生大的安全事故，确保了复工复产、复商复学复市安全有序。</w:t>
            </w:r>
          </w:p>
          <w:p>
            <w:pPr>
              <w:autoSpaceDN w:val="0"/>
              <w:spacing w:line="320" w:lineRule="exact"/>
              <w:textAlignment w:val="center"/>
              <w:rPr>
                <w:rFonts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整体支出</w:t>
            </w:r>
          </w:p>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评价内容</w:t>
            </w:r>
          </w:p>
        </w:tc>
        <w:tc>
          <w:tcPr>
            <w:tcW w:w="2388" w:type="dxa"/>
            <w:gridSpan w:val="3"/>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绩效目标</w:t>
            </w:r>
          </w:p>
        </w:tc>
        <w:tc>
          <w:tcPr>
            <w:tcW w:w="3198" w:type="dxa"/>
            <w:gridSpan w:val="6"/>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color w:val="auto"/>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产出目标</w:t>
            </w:r>
          </w:p>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质量指标</w:t>
            </w:r>
          </w:p>
        </w:tc>
        <w:tc>
          <w:tcPr>
            <w:tcW w:w="2388" w:type="dxa"/>
            <w:gridSpan w:val="3"/>
            <w:vAlign w:val="center"/>
          </w:tcPr>
          <w:p>
            <w:pPr>
              <w:spacing w:line="360" w:lineRule="exact"/>
              <w:jc w:val="center"/>
              <w:rPr>
                <w:rFonts w:ascii="Times New Roman" w:hAnsi="Times New Roman" w:eastAsia="仿宋_GB2312"/>
                <w:color w:val="auto"/>
                <w:sz w:val="24"/>
                <w:szCs w:val="24"/>
              </w:rPr>
            </w:pPr>
            <w:r>
              <w:rPr>
                <w:rFonts w:hint="eastAsia" w:eastAsia="仿宋_GB2312"/>
                <w:color w:val="auto"/>
                <w:sz w:val="24"/>
              </w:rPr>
              <w:t>指标</w:t>
            </w:r>
            <w:r>
              <w:rPr>
                <w:rFonts w:eastAsia="仿宋_GB2312"/>
                <w:color w:val="auto"/>
                <w:sz w:val="24"/>
              </w:rPr>
              <w:t>1</w:t>
            </w:r>
            <w:r>
              <w:rPr>
                <w:rFonts w:hint="eastAsia" w:eastAsia="仿宋_GB2312"/>
                <w:color w:val="auto"/>
                <w:sz w:val="24"/>
              </w:rPr>
              <w:t>：抽检结果完成</w:t>
            </w:r>
            <w:r>
              <w:rPr>
                <w:rFonts w:eastAsia="仿宋_GB2312"/>
                <w:color w:val="auto"/>
                <w:sz w:val="24"/>
              </w:rPr>
              <w:t>:100%</w:t>
            </w:r>
          </w:p>
        </w:tc>
        <w:tc>
          <w:tcPr>
            <w:tcW w:w="3198" w:type="dxa"/>
            <w:gridSpan w:val="6"/>
            <w:vAlign w:val="center"/>
          </w:tcPr>
          <w:p>
            <w:pPr>
              <w:autoSpaceDN w:val="0"/>
              <w:spacing w:line="320" w:lineRule="exact"/>
              <w:jc w:val="center"/>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实际完成</w:t>
            </w:r>
            <w:r>
              <w:rPr>
                <w:rFonts w:ascii="仿宋_GB2312" w:hAnsi="仿宋_GB2312" w:eastAsia="仿宋_GB2312" w:cs="仿宋_GB2312"/>
                <w:bCs/>
                <w:color w:val="auto"/>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color w:val="auto"/>
                <w:sz w:val="24"/>
              </w:rPr>
            </w:pPr>
          </w:p>
        </w:tc>
        <w:tc>
          <w:tcPr>
            <w:tcW w:w="1549" w:type="dxa"/>
            <w:gridSpan w:val="4"/>
            <w:vMerge w:val="continue"/>
            <w:vAlign w:val="center"/>
          </w:tcPr>
          <w:p>
            <w:pPr>
              <w:autoSpaceDN w:val="0"/>
              <w:spacing w:line="320" w:lineRule="exact"/>
              <w:rPr>
                <w:rFonts w:ascii="仿宋_GB2312" w:hAnsi="仿宋_GB2312" w:eastAsia="仿宋_GB2312" w:cs="仿宋_GB2312"/>
                <w:color w:val="auto"/>
                <w:sz w:val="24"/>
              </w:rPr>
            </w:pPr>
          </w:p>
        </w:tc>
        <w:tc>
          <w:tcPr>
            <w:tcW w:w="1417" w:type="dxa"/>
            <w:gridSpan w:val="2"/>
            <w:vMerge w:val="continue"/>
            <w:vAlign w:val="center"/>
          </w:tcPr>
          <w:p>
            <w:pPr>
              <w:spacing w:line="320" w:lineRule="exact"/>
              <w:rPr>
                <w:rFonts w:ascii="仿宋_GB2312" w:hAnsi="仿宋_GB2312" w:eastAsia="仿宋_GB2312" w:cs="仿宋_GB2312"/>
                <w:color w:val="auto"/>
                <w:sz w:val="24"/>
              </w:rPr>
            </w:pPr>
          </w:p>
        </w:tc>
        <w:tc>
          <w:tcPr>
            <w:tcW w:w="2388" w:type="dxa"/>
            <w:gridSpan w:val="3"/>
            <w:vAlign w:val="center"/>
          </w:tcPr>
          <w:p>
            <w:pPr>
              <w:spacing w:line="360" w:lineRule="exact"/>
              <w:jc w:val="center"/>
              <w:rPr>
                <w:rFonts w:ascii="Times New Roman" w:hAnsi="Times New Roman" w:eastAsia="仿宋_GB2312"/>
                <w:color w:val="auto"/>
                <w:sz w:val="24"/>
                <w:szCs w:val="24"/>
              </w:rPr>
            </w:pPr>
            <w:r>
              <w:rPr>
                <w:rFonts w:hint="eastAsia" w:ascii="仿宋_GB2312" w:hAnsi="仿宋_GB2312" w:eastAsia="仿宋_GB2312" w:cs="仿宋_GB2312"/>
                <w:color w:val="auto"/>
                <w:sz w:val="24"/>
                <w:szCs w:val="24"/>
              </w:rPr>
              <w:t>指标</w:t>
            </w:r>
            <w:r>
              <w:rPr>
                <w:rFonts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rPr>
              <w:t>：发生影响恶劣的重大执法违法违规事件为</w:t>
            </w:r>
            <w:r>
              <w:rPr>
                <w:rFonts w:ascii="仿宋_GB2312" w:hAnsi="仿宋_GB2312" w:eastAsia="仿宋_GB2312" w:cs="仿宋_GB2312"/>
                <w:color w:val="auto"/>
                <w:sz w:val="24"/>
                <w:szCs w:val="24"/>
              </w:rPr>
              <w:t>0</w:t>
            </w:r>
            <w:r>
              <w:rPr>
                <w:rFonts w:hint="eastAsia" w:ascii="仿宋_GB2312" w:hAnsi="仿宋_GB2312" w:eastAsia="仿宋_GB2312" w:cs="仿宋_GB2312"/>
                <w:color w:val="auto"/>
                <w:sz w:val="24"/>
                <w:szCs w:val="24"/>
              </w:rPr>
              <w:t>次</w:t>
            </w:r>
          </w:p>
        </w:tc>
        <w:tc>
          <w:tcPr>
            <w:tcW w:w="3198" w:type="dxa"/>
            <w:gridSpan w:val="6"/>
            <w:vAlign w:val="center"/>
          </w:tcPr>
          <w:p>
            <w:pPr>
              <w:autoSpaceDN w:val="0"/>
              <w:spacing w:line="320" w:lineRule="exact"/>
              <w:jc w:val="center"/>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实际无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color w:val="auto"/>
                <w:sz w:val="24"/>
              </w:rPr>
            </w:pPr>
          </w:p>
        </w:tc>
        <w:tc>
          <w:tcPr>
            <w:tcW w:w="1549" w:type="dxa"/>
            <w:gridSpan w:val="4"/>
            <w:vMerge w:val="continue"/>
            <w:vAlign w:val="center"/>
          </w:tcPr>
          <w:p>
            <w:pPr>
              <w:autoSpaceDN w:val="0"/>
              <w:spacing w:line="320" w:lineRule="exact"/>
              <w:rPr>
                <w:rFonts w:ascii="仿宋_GB2312" w:hAnsi="仿宋_GB2312" w:eastAsia="仿宋_GB2312" w:cs="仿宋_GB2312"/>
                <w:color w:val="auto"/>
                <w:sz w:val="24"/>
              </w:rPr>
            </w:pPr>
          </w:p>
        </w:tc>
        <w:tc>
          <w:tcPr>
            <w:tcW w:w="1417" w:type="dxa"/>
            <w:gridSpan w:val="2"/>
            <w:vMerge w:val="continue"/>
            <w:vAlign w:val="center"/>
          </w:tcPr>
          <w:p>
            <w:pPr>
              <w:spacing w:line="320" w:lineRule="exact"/>
              <w:rPr>
                <w:rFonts w:ascii="仿宋_GB2312" w:hAnsi="仿宋_GB2312" w:eastAsia="仿宋_GB2312" w:cs="仿宋_GB2312"/>
                <w:color w:val="auto"/>
                <w:sz w:val="24"/>
              </w:rPr>
            </w:pPr>
          </w:p>
        </w:tc>
        <w:tc>
          <w:tcPr>
            <w:tcW w:w="2388" w:type="dxa"/>
            <w:gridSpan w:val="3"/>
            <w:vAlign w:val="center"/>
          </w:tcPr>
          <w:p>
            <w:pPr>
              <w:spacing w:line="360" w:lineRule="exact"/>
              <w:jc w:val="center"/>
              <w:rPr>
                <w:rFonts w:ascii="Times New Roman" w:hAnsi="Times New Roman" w:eastAsia="仿宋_GB2312"/>
                <w:color w:val="auto"/>
                <w:sz w:val="24"/>
                <w:szCs w:val="24"/>
              </w:rPr>
            </w:pPr>
            <w:r>
              <w:rPr>
                <w:rFonts w:hint="eastAsia" w:eastAsia="仿宋_GB2312"/>
                <w:color w:val="auto"/>
                <w:sz w:val="24"/>
              </w:rPr>
              <w:t>指标</w:t>
            </w:r>
            <w:r>
              <w:rPr>
                <w:rFonts w:eastAsia="仿宋_GB2312"/>
                <w:color w:val="auto"/>
                <w:sz w:val="24"/>
              </w:rPr>
              <w:t>3</w:t>
            </w:r>
            <w:r>
              <w:rPr>
                <w:rFonts w:hint="eastAsia" w:eastAsia="仿宋_GB2312"/>
                <w:color w:val="auto"/>
                <w:sz w:val="24"/>
              </w:rPr>
              <w:t>：食品生产环节发生系统性、区域性安全事故次数为</w:t>
            </w:r>
            <w:r>
              <w:rPr>
                <w:rFonts w:eastAsia="仿宋_GB2312"/>
                <w:color w:val="auto"/>
                <w:sz w:val="24"/>
              </w:rPr>
              <w:t>0</w:t>
            </w:r>
            <w:r>
              <w:rPr>
                <w:rFonts w:hint="eastAsia" w:eastAsia="仿宋_GB2312"/>
                <w:color w:val="auto"/>
                <w:sz w:val="24"/>
              </w:rPr>
              <w:t>次</w:t>
            </w:r>
          </w:p>
        </w:tc>
        <w:tc>
          <w:tcPr>
            <w:tcW w:w="3198" w:type="dxa"/>
            <w:gridSpan w:val="6"/>
            <w:vAlign w:val="center"/>
          </w:tcPr>
          <w:p>
            <w:pPr>
              <w:autoSpaceDN w:val="0"/>
              <w:spacing w:line="320" w:lineRule="exact"/>
              <w:jc w:val="center"/>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实际无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color w:val="auto"/>
                <w:sz w:val="24"/>
              </w:rPr>
            </w:pPr>
          </w:p>
        </w:tc>
        <w:tc>
          <w:tcPr>
            <w:tcW w:w="1549" w:type="dxa"/>
            <w:gridSpan w:val="4"/>
            <w:vMerge w:val="continue"/>
            <w:vAlign w:val="center"/>
          </w:tcPr>
          <w:p>
            <w:pPr>
              <w:autoSpaceDN w:val="0"/>
              <w:spacing w:line="320" w:lineRule="exact"/>
              <w:rPr>
                <w:rFonts w:ascii="仿宋_GB2312" w:hAnsi="仿宋_GB2312" w:eastAsia="仿宋_GB2312" w:cs="仿宋_GB2312"/>
                <w:color w:val="auto"/>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数量指标</w:t>
            </w:r>
          </w:p>
        </w:tc>
        <w:tc>
          <w:tcPr>
            <w:tcW w:w="2388" w:type="dxa"/>
            <w:gridSpan w:val="3"/>
            <w:vAlign w:val="center"/>
          </w:tcPr>
          <w:p>
            <w:pPr>
              <w:spacing w:line="360" w:lineRule="exact"/>
              <w:jc w:val="center"/>
              <w:rPr>
                <w:rFonts w:ascii="仿宋_GB2312" w:hAnsi="仿宋_GB2312" w:eastAsia="仿宋_GB2312" w:cs="仿宋_GB2312"/>
                <w:color w:val="auto"/>
                <w:sz w:val="24"/>
              </w:rPr>
            </w:pPr>
            <w:r>
              <w:rPr>
                <w:rFonts w:hint="eastAsia" w:eastAsia="仿宋_GB2312"/>
                <w:color w:val="auto"/>
                <w:sz w:val="24"/>
              </w:rPr>
              <w:t>指标</w:t>
            </w:r>
            <w:r>
              <w:rPr>
                <w:rFonts w:eastAsia="仿宋_GB2312"/>
                <w:color w:val="auto"/>
                <w:sz w:val="24"/>
              </w:rPr>
              <w:t>1</w:t>
            </w:r>
            <w:r>
              <w:rPr>
                <w:rFonts w:hint="eastAsia" w:eastAsia="仿宋_GB2312"/>
                <w:color w:val="auto"/>
                <w:sz w:val="24"/>
              </w:rPr>
              <w:t>：食品抽检</w:t>
            </w:r>
            <w:r>
              <w:rPr>
                <w:rFonts w:eastAsia="仿宋_GB2312"/>
                <w:color w:val="auto"/>
                <w:sz w:val="24"/>
              </w:rPr>
              <w:t>1408</w:t>
            </w:r>
            <w:r>
              <w:rPr>
                <w:rFonts w:hint="eastAsia" w:eastAsia="仿宋_GB2312"/>
                <w:color w:val="auto"/>
                <w:sz w:val="24"/>
              </w:rPr>
              <w:t>批次</w:t>
            </w:r>
          </w:p>
        </w:tc>
        <w:tc>
          <w:tcPr>
            <w:tcW w:w="3198" w:type="dxa"/>
            <w:gridSpan w:val="6"/>
            <w:vAlign w:val="center"/>
          </w:tcPr>
          <w:p>
            <w:pPr>
              <w:autoSpaceDN w:val="0"/>
              <w:spacing w:line="320" w:lineRule="exact"/>
              <w:jc w:val="center"/>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完成抽检</w:t>
            </w:r>
            <w:r>
              <w:rPr>
                <w:rFonts w:ascii="仿宋_GB2312" w:hAnsi="仿宋_GB2312" w:eastAsia="仿宋_GB2312" w:cs="仿宋_GB2312"/>
                <w:bCs/>
                <w:color w:val="auto"/>
                <w:sz w:val="24"/>
              </w:rPr>
              <w:t>1408</w:t>
            </w:r>
            <w:r>
              <w:rPr>
                <w:rFonts w:hint="eastAsia" w:ascii="仿宋_GB2312" w:hAnsi="仿宋_GB2312" w:eastAsia="仿宋_GB2312" w:cs="仿宋_GB2312"/>
                <w:bCs/>
                <w:color w:val="auto"/>
                <w:sz w:val="24"/>
              </w:rPr>
              <w:t>批次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color w:val="auto"/>
                <w:sz w:val="24"/>
              </w:rPr>
            </w:pPr>
          </w:p>
        </w:tc>
        <w:tc>
          <w:tcPr>
            <w:tcW w:w="1549" w:type="dxa"/>
            <w:gridSpan w:val="4"/>
            <w:vMerge w:val="continue"/>
            <w:vAlign w:val="center"/>
          </w:tcPr>
          <w:p>
            <w:pPr>
              <w:autoSpaceDN w:val="0"/>
              <w:spacing w:line="320" w:lineRule="exact"/>
              <w:rPr>
                <w:rFonts w:ascii="仿宋_GB2312" w:hAnsi="仿宋_GB2312" w:eastAsia="仿宋_GB2312" w:cs="仿宋_GB2312"/>
                <w:color w:val="auto"/>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auto"/>
                <w:sz w:val="24"/>
              </w:rPr>
            </w:pPr>
          </w:p>
        </w:tc>
        <w:tc>
          <w:tcPr>
            <w:tcW w:w="2388" w:type="dxa"/>
            <w:gridSpan w:val="3"/>
            <w:vAlign w:val="center"/>
          </w:tcPr>
          <w:p>
            <w:pPr>
              <w:spacing w:line="360" w:lineRule="exact"/>
              <w:jc w:val="center"/>
              <w:rPr>
                <w:rFonts w:ascii="仿宋_GB2312" w:hAnsi="仿宋_GB2312" w:eastAsia="仿宋_GB2312" w:cs="仿宋_GB2312"/>
                <w:color w:val="auto"/>
                <w:sz w:val="24"/>
              </w:rPr>
            </w:pPr>
            <w:r>
              <w:rPr>
                <w:rFonts w:hint="eastAsia" w:eastAsia="仿宋_GB2312"/>
                <w:color w:val="auto"/>
                <w:sz w:val="24"/>
              </w:rPr>
              <w:t>指标</w:t>
            </w:r>
            <w:r>
              <w:rPr>
                <w:rFonts w:eastAsia="仿宋_GB2312"/>
                <w:color w:val="auto"/>
                <w:sz w:val="24"/>
              </w:rPr>
              <w:t>2</w:t>
            </w:r>
            <w:r>
              <w:rPr>
                <w:rFonts w:hint="eastAsia" w:eastAsia="仿宋_GB2312"/>
                <w:color w:val="auto"/>
                <w:sz w:val="24"/>
              </w:rPr>
              <w:t>：食用农产品抽检</w:t>
            </w:r>
            <w:r>
              <w:rPr>
                <w:rFonts w:eastAsia="仿宋_GB2312"/>
                <w:color w:val="auto"/>
                <w:sz w:val="24"/>
              </w:rPr>
              <w:t>600</w:t>
            </w:r>
            <w:r>
              <w:rPr>
                <w:rFonts w:hint="eastAsia" w:eastAsia="仿宋_GB2312"/>
                <w:color w:val="auto"/>
                <w:sz w:val="24"/>
              </w:rPr>
              <w:t>批次</w:t>
            </w:r>
          </w:p>
        </w:tc>
        <w:tc>
          <w:tcPr>
            <w:tcW w:w="3198" w:type="dxa"/>
            <w:gridSpan w:val="6"/>
            <w:vAlign w:val="center"/>
          </w:tcPr>
          <w:p>
            <w:pPr>
              <w:autoSpaceDN w:val="0"/>
              <w:spacing w:line="320" w:lineRule="exact"/>
              <w:jc w:val="center"/>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完成抽检</w:t>
            </w:r>
            <w:r>
              <w:rPr>
                <w:rFonts w:ascii="仿宋_GB2312" w:hAnsi="仿宋_GB2312" w:eastAsia="仿宋_GB2312" w:cs="仿宋_GB2312"/>
                <w:bCs/>
                <w:color w:val="auto"/>
                <w:sz w:val="24"/>
              </w:rPr>
              <w:t>600</w:t>
            </w:r>
            <w:r>
              <w:rPr>
                <w:rFonts w:hint="eastAsia" w:ascii="仿宋_GB2312" w:hAnsi="仿宋_GB2312" w:eastAsia="仿宋_GB2312" w:cs="仿宋_GB2312"/>
                <w:bCs/>
                <w:color w:val="auto"/>
                <w:sz w:val="24"/>
              </w:rPr>
              <w:t>批次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color w:val="auto"/>
                <w:sz w:val="24"/>
              </w:rPr>
            </w:pPr>
          </w:p>
        </w:tc>
        <w:tc>
          <w:tcPr>
            <w:tcW w:w="1549" w:type="dxa"/>
            <w:gridSpan w:val="4"/>
            <w:vMerge w:val="continue"/>
            <w:vAlign w:val="center"/>
          </w:tcPr>
          <w:p>
            <w:pPr>
              <w:autoSpaceDN w:val="0"/>
              <w:spacing w:line="320" w:lineRule="exact"/>
              <w:rPr>
                <w:rFonts w:ascii="仿宋_GB2312" w:hAnsi="仿宋_GB2312" w:eastAsia="仿宋_GB2312" w:cs="仿宋_GB2312"/>
                <w:color w:val="auto"/>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auto"/>
                <w:sz w:val="24"/>
              </w:rPr>
            </w:pPr>
          </w:p>
        </w:tc>
        <w:tc>
          <w:tcPr>
            <w:tcW w:w="2388" w:type="dxa"/>
            <w:gridSpan w:val="3"/>
            <w:vAlign w:val="center"/>
          </w:tcPr>
          <w:p>
            <w:pPr>
              <w:spacing w:line="360" w:lineRule="exact"/>
              <w:jc w:val="center"/>
              <w:rPr>
                <w:rFonts w:ascii="仿宋_GB2312" w:hAnsi="仿宋_GB2312" w:eastAsia="仿宋_GB2312" w:cs="仿宋_GB2312"/>
                <w:color w:val="auto"/>
                <w:sz w:val="24"/>
              </w:rPr>
            </w:pPr>
            <w:r>
              <w:rPr>
                <w:rFonts w:hint="eastAsia" w:eastAsia="仿宋_GB2312"/>
                <w:color w:val="auto"/>
                <w:sz w:val="24"/>
              </w:rPr>
              <w:t>指标</w:t>
            </w:r>
            <w:r>
              <w:rPr>
                <w:rFonts w:eastAsia="仿宋_GB2312"/>
                <w:color w:val="auto"/>
                <w:sz w:val="24"/>
              </w:rPr>
              <w:t>3</w:t>
            </w:r>
            <w:r>
              <w:rPr>
                <w:rFonts w:hint="eastAsia" w:eastAsia="仿宋_GB2312"/>
                <w:color w:val="auto"/>
                <w:sz w:val="24"/>
              </w:rPr>
              <w:t>：药品抽检</w:t>
            </w:r>
            <w:r>
              <w:rPr>
                <w:rFonts w:eastAsia="仿宋_GB2312"/>
                <w:color w:val="auto"/>
                <w:sz w:val="24"/>
              </w:rPr>
              <w:t>360</w:t>
            </w:r>
            <w:r>
              <w:rPr>
                <w:rFonts w:hint="eastAsia" w:eastAsia="仿宋_GB2312"/>
                <w:color w:val="auto"/>
                <w:sz w:val="24"/>
              </w:rPr>
              <w:t>批次</w:t>
            </w:r>
          </w:p>
        </w:tc>
        <w:tc>
          <w:tcPr>
            <w:tcW w:w="3198" w:type="dxa"/>
            <w:gridSpan w:val="6"/>
            <w:vAlign w:val="center"/>
          </w:tcPr>
          <w:p>
            <w:pPr>
              <w:autoSpaceDN w:val="0"/>
              <w:spacing w:line="320" w:lineRule="exact"/>
              <w:jc w:val="center"/>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完成抽检</w:t>
            </w:r>
            <w:r>
              <w:rPr>
                <w:rFonts w:ascii="仿宋_GB2312" w:hAnsi="仿宋_GB2312" w:eastAsia="仿宋_GB2312" w:cs="仿宋_GB2312"/>
                <w:bCs/>
                <w:color w:val="auto"/>
                <w:sz w:val="24"/>
              </w:rPr>
              <w:t>360</w:t>
            </w:r>
            <w:r>
              <w:rPr>
                <w:rFonts w:hint="eastAsia" w:ascii="仿宋_GB2312" w:hAnsi="仿宋_GB2312" w:eastAsia="仿宋_GB2312" w:cs="仿宋_GB2312"/>
                <w:bCs/>
                <w:color w:val="auto"/>
                <w:sz w:val="24"/>
              </w:rPr>
              <w:t>批次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color w:val="auto"/>
                <w:sz w:val="24"/>
              </w:rPr>
            </w:pPr>
          </w:p>
        </w:tc>
        <w:tc>
          <w:tcPr>
            <w:tcW w:w="1549" w:type="dxa"/>
            <w:gridSpan w:val="4"/>
            <w:vMerge w:val="continue"/>
            <w:vAlign w:val="center"/>
          </w:tcPr>
          <w:p>
            <w:pPr>
              <w:autoSpaceDN w:val="0"/>
              <w:spacing w:line="320" w:lineRule="exact"/>
              <w:rPr>
                <w:rFonts w:ascii="仿宋_GB2312" w:hAnsi="仿宋_GB2312" w:eastAsia="仿宋_GB2312" w:cs="仿宋_GB2312"/>
                <w:color w:val="auto"/>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auto"/>
                <w:sz w:val="24"/>
              </w:rPr>
            </w:pPr>
          </w:p>
        </w:tc>
        <w:tc>
          <w:tcPr>
            <w:tcW w:w="2388" w:type="dxa"/>
            <w:gridSpan w:val="3"/>
            <w:vAlign w:val="center"/>
          </w:tcPr>
          <w:p>
            <w:pPr>
              <w:spacing w:line="360" w:lineRule="exact"/>
              <w:jc w:val="center"/>
              <w:rPr>
                <w:rFonts w:ascii="仿宋_GB2312" w:hAnsi="仿宋_GB2312" w:eastAsia="仿宋_GB2312" w:cs="仿宋_GB2312"/>
                <w:color w:val="auto"/>
                <w:sz w:val="24"/>
              </w:rPr>
            </w:pPr>
            <w:r>
              <w:rPr>
                <w:rFonts w:hint="eastAsia" w:eastAsia="仿宋_GB2312"/>
                <w:color w:val="auto"/>
                <w:sz w:val="24"/>
              </w:rPr>
              <w:t>指标</w:t>
            </w:r>
            <w:r>
              <w:rPr>
                <w:rFonts w:eastAsia="仿宋_GB2312"/>
                <w:color w:val="auto"/>
                <w:sz w:val="24"/>
              </w:rPr>
              <w:t>4</w:t>
            </w:r>
            <w:r>
              <w:rPr>
                <w:rFonts w:hint="eastAsia" w:eastAsia="仿宋_GB2312"/>
                <w:color w:val="auto"/>
                <w:sz w:val="24"/>
              </w:rPr>
              <w:t>：化妆品抽检</w:t>
            </w:r>
            <w:r>
              <w:rPr>
                <w:rFonts w:eastAsia="仿宋_GB2312"/>
                <w:color w:val="auto"/>
                <w:sz w:val="24"/>
              </w:rPr>
              <w:t>70</w:t>
            </w:r>
            <w:r>
              <w:rPr>
                <w:rFonts w:hint="eastAsia" w:eastAsia="仿宋_GB2312"/>
                <w:color w:val="auto"/>
                <w:sz w:val="24"/>
              </w:rPr>
              <w:t>批次</w:t>
            </w:r>
          </w:p>
        </w:tc>
        <w:tc>
          <w:tcPr>
            <w:tcW w:w="3198" w:type="dxa"/>
            <w:gridSpan w:val="6"/>
            <w:vAlign w:val="center"/>
          </w:tcPr>
          <w:p>
            <w:pPr>
              <w:autoSpaceDN w:val="0"/>
              <w:spacing w:line="320" w:lineRule="exact"/>
              <w:jc w:val="center"/>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完成抽检</w:t>
            </w:r>
            <w:r>
              <w:rPr>
                <w:rFonts w:ascii="仿宋_GB2312" w:hAnsi="仿宋_GB2312" w:eastAsia="仿宋_GB2312" w:cs="仿宋_GB2312"/>
                <w:bCs/>
                <w:color w:val="auto"/>
                <w:sz w:val="24"/>
              </w:rPr>
              <w:t>70</w:t>
            </w:r>
            <w:r>
              <w:rPr>
                <w:rFonts w:hint="eastAsia" w:ascii="仿宋_GB2312" w:hAnsi="仿宋_GB2312" w:eastAsia="仿宋_GB2312" w:cs="仿宋_GB2312"/>
                <w:bCs/>
                <w:color w:val="auto"/>
                <w:sz w:val="24"/>
              </w:rPr>
              <w:t>批次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color w:val="auto"/>
                <w:sz w:val="24"/>
              </w:rPr>
            </w:pPr>
          </w:p>
        </w:tc>
        <w:tc>
          <w:tcPr>
            <w:tcW w:w="1549" w:type="dxa"/>
            <w:gridSpan w:val="4"/>
            <w:vMerge w:val="continue"/>
            <w:vAlign w:val="center"/>
          </w:tcPr>
          <w:p>
            <w:pPr>
              <w:autoSpaceDN w:val="0"/>
              <w:spacing w:line="320" w:lineRule="exact"/>
              <w:rPr>
                <w:rFonts w:ascii="仿宋_GB2312" w:hAnsi="仿宋_GB2312" w:eastAsia="仿宋_GB2312" w:cs="仿宋_GB2312"/>
                <w:color w:val="auto"/>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auto"/>
                <w:sz w:val="24"/>
              </w:rPr>
            </w:pPr>
          </w:p>
        </w:tc>
        <w:tc>
          <w:tcPr>
            <w:tcW w:w="2388" w:type="dxa"/>
            <w:gridSpan w:val="3"/>
            <w:vAlign w:val="center"/>
          </w:tcPr>
          <w:p>
            <w:pPr>
              <w:spacing w:line="360" w:lineRule="exact"/>
              <w:jc w:val="center"/>
              <w:rPr>
                <w:rFonts w:ascii="仿宋_GB2312" w:hAnsi="仿宋_GB2312" w:eastAsia="仿宋_GB2312" w:cs="仿宋_GB2312"/>
                <w:color w:val="auto"/>
                <w:sz w:val="24"/>
              </w:rPr>
            </w:pPr>
            <w:r>
              <w:rPr>
                <w:rFonts w:hint="eastAsia" w:eastAsia="仿宋_GB2312"/>
                <w:color w:val="auto"/>
                <w:sz w:val="24"/>
              </w:rPr>
              <w:t>指标</w:t>
            </w:r>
            <w:r>
              <w:rPr>
                <w:rFonts w:eastAsia="仿宋_GB2312"/>
                <w:color w:val="auto"/>
                <w:sz w:val="24"/>
              </w:rPr>
              <w:t>5</w:t>
            </w:r>
            <w:r>
              <w:rPr>
                <w:rFonts w:hint="eastAsia" w:eastAsia="仿宋_GB2312"/>
                <w:color w:val="auto"/>
                <w:sz w:val="24"/>
              </w:rPr>
              <w:t>：巡查药品生产企业</w:t>
            </w:r>
            <w:r>
              <w:rPr>
                <w:rFonts w:eastAsia="仿宋_GB2312"/>
                <w:color w:val="auto"/>
                <w:sz w:val="24"/>
              </w:rPr>
              <w:t>14</w:t>
            </w:r>
            <w:r>
              <w:rPr>
                <w:rFonts w:hint="eastAsia" w:eastAsia="仿宋_GB2312"/>
                <w:color w:val="auto"/>
                <w:sz w:val="24"/>
              </w:rPr>
              <w:t>家</w:t>
            </w:r>
          </w:p>
        </w:tc>
        <w:tc>
          <w:tcPr>
            <w:tcW w:w="3198" w:type="dxa"/>
            <w:gridSpan w:val="6"/>
            <w:vAlign w:val="center"/>
          </w:tcPr>
          <w:p>
            <w:pPr>
              <w:autoSpaceDN w:val="0"/>
              <w:spacing w:line="320" w:lineRule="exact"/>
              <w:jc w:val="center"/>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完成巡查</w:t>
            </w:r>
            <w:r>
              <w:rPr>
                <w:rFonts w:ascii="仿宋_GB2312" w:hAnsi="仿宋_GB2312" w:eastAsia="仿宋_GB2312" w:cs="仿宋_GB2312"/>
                <w:bCs/>
                <w:color w:val="auto"/>
                <w:sz w:val="24"/>
              </w:rPr>
              <w:t>14</w:t>
            </w:r>
            <w:r>
              <w:rPr>
                <w:rFonts w:hint="eastAsia" w:ascii="仿宋_GB2312" w:hAnsi="仿宋_GB2312" w:eastAsia="仿宋_GB2312" w:cs="仿宋_GB2312"/>
                <w:bCs/>
                <w:color w:val="auto"/>
                <w:sz w:val="24"/>
              </w:rPr>
              <w:t>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color w:val="auto"/>
                <w:sz w:val="24"/>
              </w:rPr>
            </w:pPr>
          </w:p>
        </w:tc>
        <w:tc>
          <w:tcPr>
            <w:tcW w:w="1549" w:type="dxa"/>
            <w:gridSpan w:val="4"/>
            <w:vMerge w:val="continue"/>
            <w:vAlign w:val="center"/>
          </w:tcPr>
          <w:p>
            <w:pPr>
              <w:autoSpaceDN w:val="0"/>
              <w:spacing w:line="320" w:lineRule="exact"/>
              <w:rPr>
                <w:rFonts w:ascii="仿宋_GB2312" w:hAnsi="仿宋_GB2312" w:eastAsia="仿宋_GB2312" w:cs="仿宋_GB2312"/>
                <w:color w:val="auto"/>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auto"/>
                <w:sz w:val="24"/>
              </w:rPr>
            </w:pPr>
          </w:p>
        </w:tc>
        <w:tc>
          <w:tcPr>
            <w:tcW w:w="2388" w:type="dxa"/>
            <w:gridSpan w:val="3"/>
            <w:vAlign w:val="center"/>
          </w:tcPr>
          <w:p>
            <w:pPr>
              <w:spacing w:line="360" w:lineRule="exact"/>
              <w:jc w:val="center"/>
              <w:rPr>
                <w:rFonts w:ascii="Times New Roman" w:hAnsi="Times New Roman" w:eastAsia="仿宋_GB2312"/>
                <w:color w:val="auto"/>
                <w:sz w:val="24"/>
                <w:szCs w:val="24"/>
              </w:rPr>
            </w:pPr>
            <w:r>
              <w:rPr>
                <w:rFonts w:hint="eastAsia" w:eastAsia="仿宋_GB2312"/>
                <w:color w:val="auto"/>
                <w:sz w:val="24"/>
              </w:rPr>
              <w:t>指标</w:t>
            </w:r>
            <w:r>
              <w:rPr>
                <w:rFonts w:eastAsia="仿宋_GB2312"/>
                <w:color w:val="auto"/>
                <w:sz w:val="24"/>
              </w:rPr>
              <w:t>6</w:t>
            </w:r>
            <w:r>
              <w:rPr>
                <w:rFonts w:hint="eastAsia" w:eastAsia="仿宋_GB2312"/>
                <w:color w:val="auto"/>
                <w:sz w:val="24"/>
              </w:rPr>
              <w:t>：强制检定工作计量器具的备案及检定数大于等于</w:t>
            </w:r>
            <w:r>
              <w:rPr>
                <w:rFonts w:eastAsia="仿宋_GB2312"/>
                <w:color w:val="auto"/>
                <w:sz w:val="24"/>
              </w:rPr>
              <w:t>4500</w:t>
            </w:r>
            <w:r>
              <w:rPr>
                <w:rFonts w:hint="eastAsia" w:eastAsia="仿宋_GB2312"/>
                <w:color w:val="auto"/>
                <w:sz w:val="24"/>
              </w:rPr>
              <w:t>台</w:t>
            </w:r>
          </w:p>
        </w:tc>
        <w:tc>
          <w:tcPr>
            <w:tcW w:w="3198" w:type="dxa"/>
            <w:gridSpan w:val="6"/>
            <w:vAlign w:val="center"/>
          </w:tcPr>
          <w:p>
            <w:pPr>
              <w:jc w:val="center"/>
              <w:rPr>
                <w:rFonts w:ascii="Times New Roman" w:hAnsi="Times New Roman" w:eastAsia="仿宋_GB2312"/>
                <w:color w:val="auto"/>
                <w:sz w:val="24"/>
                <w:szCs w:val="24"/>
              </w:rPr>
            </w:pPr>
            <w:r>
              <w:rPr>
                <w:rFonts w:hint="eastAsia" w:eastAsia="仿宋_GB2312"/>
                <w:color w:val="auto"/>
                <w:sz w:val="24"/>
              </w:rPr>
              <w:t>实际</w:t>
            </w:r>
            <w:r>
              <w:rPr>
                <w:rFonts w:eastAsia="仿宋_GB2312"/>
                <w:color w:val="auto"/>
                <w:sz w:val="24"/>
              </w:rPr>
              <w:t>45498</w:t>
            </w:r>
            <w:r>
              <w:rPr>
                <w:rFonts w:hint="eastAsia" w:eastAsia="仿宋_GB2312"/>
                <w:color w:val="auto"/>
                <w:sz w:val="24"/>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color w:val="auto"/>
                <w:sz w:val="24"/>
              </w:rPr>
            </w:pPr>
          </w:p>
        </w:tc>
        <w:tc>
          <w:tcPr>
            <w:tcW w:w="1549" w:type="dxa"/>
            <w:gridSpan w:val="4"/>
            <w:vMerge w:val="continue"/>
            <w:vAlign w:val="center"/>
          </w:tcPr>
          <w:p>
            <w:pPr>
              <w:autoSpaceDN w:val="0"/>
              <w:spacing w:line="320" w:lineRule="exact"/>
              <w:rPr>
                <w:rFonts w:ascii="仿宋_GB2312" w:hAnsi="仿宋_GB2312" w:eastAsia="仿宋_GB2312" w:cs="仿宋_GB2312"/>
                <w:color w:val="auto"/>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auto"/>
                <w:sz w:val="24"/>
              </w:rPr>
            </w:pPr>
          </w:p>
        </w:tc>
        <w:tc>
          <w:tcPr>
            <w:tcW w:w="2388" w:type="dxa"/>
            <w:gridSpan w:val="3"/>
            <w:vAlign w:val="center"/>
          </w:tcPr>
          <w:p>
            <w:pPr>
              <w:spacing w:line="360" w:lineRule="exact"/>
              <w:jc w:val="center"/>
              <w:rPr>
                <w:rFonts w:ascii="Times New Roman" w:hAnsi="Times New Roman" w:eastAsia="仿宋_GB2312"/>
                <w:color w:val="auto"/>
                <w:sz w:val="24"/>
                <w:szCs w:val="24"/>
              </w:rPr>
            </w:pPr>
            <w:r>
              <w:rPr>
                <w:rFonts w:hint="eastAsia" w:eastAsia="仿宋_GB2312"/>
                <w:color w:val="auto"/>
                <w:sz w:val="24"/>
              </w:rPr>
              <w:t>指标</w:t>
            </w:r>
            <w:r>
              <w:rPr>
                <w:rFonts w:eastAsia="仿宋_GB2312"/>
                <w:color w:val="auto"/>
                <w:sz w:val="24"/>
              </w:rPr>
              <w:t>7</w:t>
            </w:r>
            <w:r>
              <w:rPr>
                <w:rFonts w:hint="eastAsia" w:eastAsia="仿宋_GB2312"/>
                <w:color w:val="auto"/>
                <w:sz w:val="24"/>
              </w:rPr>
              <w:t>：集贸市场衡器数大于等于</w:t>
            </w:r>
            <w:r>
              <w:rPr>
                <w:rFonts w:eastAsia="仿宋_GB2312"/>
                <w:color w:val="auto"/>
                <w:sz w:val="24"/>
              </w:rPr>
              <w:t>300</w:t>
            </w:r>
            <w:r>
              <w:rPr>
                <w:rFonts w:hint="eastAsia" w:eastAsia="仿宋_GB2312"/>
                <w:color w:val="auto"/>
                <w:sz w:val="24"/>
              </w:rPr>
              <w:t>台</w:t>
            </w:r>
          </w:p>
        </w:tc>
        <w:tc>
          <w:tcPr>
            <w:tcW w:w="3198" w:type="dxa"/>
            <w:gridSpan w:val="6"/>
            <w:vAlign w:val="center"/>
          </w:tcPr>
          <w:p>
            <w:pPr>
              <w:jc w:val="center"/>
              <w:rPr>
                <w:rFonts w:ascii="Times New Roman" w:hAnsi="Times New Roman" w:eastAsia="仿宋_GB2312"/>
                <w:color w:val="auto"/>
                <w:sz w:val="24"/>
                <w:szCs w:val="24"/>
              </w:rPr>
            </w:pPr>
            <w:r>
              <w:rPr>
                <w:rFonts w:hint="eastAsia" w:eastAsia="仿宋_GB2312"/>
                <w:color w:val="auto"/>
                <w:sz w:val="24"/>
              </w:rPr>
              <w:t>实际</w:t>
            </w:r>
            <w:r>
              <w:rPr>
                <w:rFonts w:eastAsia="仿宋_GB2312"/>
                <w:color w:val="auto"/>
                <w:sz w:val="24"/>
              </w:rPr>
              <w:t>3058</w:t>
            </w:r>
            <w:r>
              <w:rPr>
                <w:rFonts w:hint="eastAsia" w:eastAsia="仿宋_GB2312"/>
                <w:color w:val="auto"/>
                <w:sz w:val="24"/>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color w:val="auto"/>
                <w:sz w:val="24"/>
              </w:rPr>
            </w:pPr>
          </w:p>
        </w:tc>
        <w:tc>
          <w:tcPr>
            <w:tcW w:w="1549" w:type="dxa"/>
            <w:gridSpan w:val="4"/>
            <w:vMerge w:val="continue"/>
            <w:vAlign w:val="center"/>
          </w:tcPr>
          <w:p>
            <w:pPr>
              <w:autoSpaceDN w:val="0"/>
              <w:spacing w:line="320" w:lineRule="exact"/>
              <w:rPr>
                <w:rFonts w:ascii="仿宋_GB2312" w:hAnsi="仿宋_GB2312" w:eastAsia="仿宋_GB2312" w:cs="仿宋_GB2312"/>
                <w:color w:val="auto"/>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auto"/>
                <w:sz w:val="24"/>
              </w:rPr>
            </w:pPr>
          </w:p>
        </w:tc>
        <w:tc>
          <w:tcPr>
            <w:tcW w:w="2388" w:type="dxa"/>
            <w:gridSpan w:val="3"/>
            <w:vAlign w:val="center"/>
          </w:tcPr>
          <w:p>
            <w:pPr>
              <w:spacing w:line="360" w:lineRule="exact"/>
              <w:jc w:val="center"/>
              <w:rPr>
                <w:rFonts w:ascii="Times New Roman" w:hAnsi="Times New Roman" w:eastAsia="仿宋_GB2312"/>
                <w:color w:val="auto"/>
                <w:sz w:val="24"/>
                <w:szCs w:val="24"/>
              </w:rPr>
            </w:pPr>
            <w:r>
              <w:rPr>
                <w:rFonts w:hint="eastAsia" w:eastAsia="仿宋_GB2312"/>
                <w:color w:val="auto"/>
                <w:sz w:val="24"/>
              </w:rPr>
              <w:t>指标</w:t>
            </w:r>
            <w:r>
              <w:rPr>
                <w:rFonts w:eastAsia="仿宋_GB2312"/>
                <w:color w:val="auto"/>
                <w:sz w:val="24"/>
              </w:rPr>
              <w:t>8</w:t>
            </w:r>
            <w:r>
              <w:rPr>
                <w:rFonts w:hint="eastAsia" w:eastAsia="仿宋_GB2312"/>
                <w:color w:val="auto"/>
                <w:sz w:val="24"/>
              </w:rPr>
              <w:t>：计量标准建标数大于等于</w:t>
            </w:r>
            <w:r>
              <w:rPr>
                <w:rFonts w:eastAsia="仿宋_GB2312"/>
                <w:color w:val="auto"/>
                <w:sz w:val="24"/>
              </w:rPr>
              <w:t>4</w:t>
            </w:r>
            <w:r>
              <w:rPr>
                <w:rFonts w:hint="eastAsia" w:eastAsia="仿宋_GB2312"/>
                <w:color w:val="auto"/>
                <w:sz w:val="24"/>
              </w:rPr>
              <w:t>个</w:t>
            </w:r>
          </w:p>
        </w:tc>
        <w:tc>
          <w:tcPr>
            <w:tcW w:w="3198" w:type="dxa"/>
            <w:gridSpan w:val="6"/>
            <w:vAlign w:val="center"/>
          </w:tcPr>
          <w:p>
            <w:pPr>
              <w:jc w:val="center"/>
              <w:rPr>
                <w:rFonts w:ascii="Times New Roman" w:hAnsi="Times New Roman" w:eastAsia="仿宋_GB2312"/>
                <w:color w:val="auto"/>
                <w:sz w:val="24"/>
                <w:szCs w:val="24"/>
              </w:rPr>
            </w:pPr>
            <w:r>
              <w:rPr>
                <w:rFonts w:hint="eastAsia" w:eastAsia="仿宋_GB2312"/>
                <w:color w:val="auto"/>
                <w:sz w:val="24"/>
              </w:rPr>
              <w:t>实际</w:t>
            </w:r>
            <w:r>
              <w:rPr>
                <w:rFonts w:eastAsia="仿宋_GB2312"/>
                <w:color w:val="auto"/>
                <w:sz w:val="24"/>
              </w:rPr>
              <w:t>4</w:t>
            </w:r>
            <w:r>
              <w:rPr>
                <w:rFonts w:hint="eastAsia" w:eastAsia="仿宋_GB2312"/>
                <w:color w:val="auto"/>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restart"/>
            <w:vAlign w:val="center"/>
          </w:tcPr>
          <w:p>
            <w:pPr>
              <w:spacing w:line="320" w:lineRule="exact"/>
              <w:rPr>
                <w:rFonts w:ascii="仿宋_GB2312" w:hAnsi="仿宋_GB2312" w:eastAsia="仿宋_GB2312" w:cs="仿宋_GB2312"/>
                <w:color w:val="auto"/>
                <w:sz w:val="24"/>
              </w:rPr>
            </w:pPr>
          </w:p>
        </w:tc>
        <w:tc>
          <w:tcPr>
            <w:tcW w:w="1549" w:type="dxa"/>
            <w:gridSpan w:val="4"/>
            <w:vMerge w:val="restart"/>
            <w:vAlign w:val="center"/>
          </w:tcPr>
          <w:p>
            <w:pPr>
              <w:autoSpaceDN w:val="0"/>
              <w:spacing w:line="320" w:lineRule="exact"/>
              <w:rPr>
                <w:rFonts w:ascii="仿宋_GB2312" w:hAnsi="仿宋_GB2312" w:eastAsia="仿宋_GB2312" w:cs="仿宋_GB2312"/>
                <w:color w:val="auto"/>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时效指标</w:t>
            </w:r>
          </w:p>
        </w:tc>
        <w:tc>
          <w:tcPr>
            <w:tcW w:w="2388" w:type="dxa"/>
            <w:gridSpan w:val="3"/>
            <w:vAlign w:val="center"/>
          </w:tcPr>
          <w:p>
            <w:pPr>
              <w:spacing w:line="360" w:lineRule="exact"/>
              <w:jc w:val="center"/>
              <w:rPr>
                <w:rFonts w:ascii="仿宋_GB2312" w:hAnsi="仿宋_GB2312" w:eastAsia="仿宋_GB2312" w:cs="仿宋_GB2312"/>
                <w:color w:val="auto"/>
                <w:sz w:val="24"/>
              </w:rPr>
            </w:pPr>
            <w:r>
              <w:rPr>
                <w:rFonts w:hint="eastAsia" w:eastAsia="仿宋_GB2312"/>
                <w:color w:val="auto"/>
                <w:sz w:val="24"/>
              </w:rPr>
              <w:t>指标</w:t>
            </w:r>
            <w:r>
              <w:rPr>
                <w:rFonts w:eastAsia="仿宋_GB2312"/>
                <w:color w:val="auto"/>
                <w:sz w:val="24"/>
              </w:rPr>
              <w:t>1</w:t>
            </w:r>
            <w:r>
              <w:rPr>
                <w:rFonts w:hint="eastAsia" w:eastAsia="仿宋_GB2312"/>
                <w:color w:val="auto"/>
                <w:sz w:val="24"/>
              </w:rPr>
              <w:t>：抽样于</w:t>
            </w:r>
            <w:r>
              <w:rPr>
                <w:rFonts w:eastAsia="仿宋_GB2312"/>
                <w:color w:val="auto"/>
                <w:sz w:val="24"/>
              </w:rPr>
              <w:t>11</w:t>
            </w:r>
            <w:r>
              <w:rPr>
                <w:rFonts w:hint="eastAsia" w:eastAsia="仿宋_GB2312"/>
                <w:color w:val="auto"/>
                <w:sz w:val="24"/>
              </w:rPr>
              <w:t>月</w:t>
            </w:r>
            <w:r>
              <w:rPr>
                <w:rFonts w:eastAsia="仿宋_GB2312"/>
                <w:color w:val="auto"/>
                <w:sz w:val="24"/>
              </w:rPr>
              <w:t>10</w:t>
            </w:r>
            <w:r>
              <w:rPr>
                <w:rFonts w:hint="eastAsia" w:eastAsia="仿宋_GB2312"/>
                <w:color w:val="auto"/>
                <w:sz w:val="24"/>
              </w:rPr>
              <w:t>日前</w:t>
            </w:r>
          </w:p>
        </w:tc>
        <w:tc>
          <w:tcPr>
            <w:tcW w:w="3198" w:type="dxa"/>
            <w:gridSpan w:val="6"/>
            <w:vAlign w:val="center"/>
          </w:tcPr>
          <w:p>
            <w:pPr>
              <w:jc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与时间匹配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color w:val="auto"/>
                <w:sz w:val="24"/>
              </w:rPr>
            </w:pPr>
          </w:p>
        </w:tc>
        <w:tc>
          <w:tcPr>
            <w:tcW w:w="1549" w:type="dxa"/>
            <w:gridSpan w:val="4"/>
            <w:vMerge w:val="continue"/>
            <w:vAlign w:val="center"/>
          </w:tcPr>
          <w:p>
            <w:pPr>
              <w:autoSpaceDN w:val="0"/>
              <w:spacing w:line="320" w:lineRule="exact"/>
              <w:rPr>
                <w:rFonts w:ascii="仿宋_GB2312" w:hAnsi="仿宋_GB2312" w:eastAsia="仿宋_GB2312" w:cs="仿宋_GB2312"/>
                <w:color w:val="auto"/>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auto"/>
                <w:sz w:val="24"/>
              </w:rPr>
            </w:pPr>
          </w:p>
        </w:tc>
        <w:tc>
          <w:tcPr>
            <w:tcW w:w="2388" w:type="dxa"/>
            <w:gridSpan w:val="3"/>
            <w:vAlign w:val="center"/>
          </w:tcPr>
          <w:p>
            <w:pPr>
              <w:spacing w:line="360" w:lineRule="exact"/>
              <w:jc w:val="center"/>
              <w:rPr>
                <w:rFonts w:ascii="仿宋_GB2312" w:hAnsi="仿宋_GB2312" w:eastAsia="仿宋_GB2312" w:cs="仿宋_GB2312"/>
                <w:color w:val="auto"/>
                <w:sz w:val="24"/>
              </w:rPr>
            </w:pPr>
            <w:r>
              <w:rPr>
                <w:rFonts w:hint="eastAsia" w:eastAsia="仿宋_GB2312"/>
                <w:color w:val="auto"/>
                <w:sz w:val="24"/>
              </w:rPr>
              <w:t>指标</w:t>
            </w:r>
            <w:r>
              <w:rPr>
                <w:rFonts w:eastAsia="仿宋_GB2312"/>
                <w:color w:val="auto"/>
                <w:sz w:val="24"/>
              </w:rPr>
              <w:t>2</w:t>
            </w:r>
            <w:r>
              <w:rPr>
                <w:rFonts w:hint="eastAsia" w:eastAsia="仿宋_GB2312"/>
                <w:color w:val="auto"/>
                <w:sz w:val="24"/>
              </w:rPr>
              <w:t>：检验与</w:t>
            </w:r>
            <w:r>
              <w:rPr>
                <w:rFonts w:eastAsia="仿宋_GB2312"/>
                <w:color w:val="auto"/>
                <w:sz w:val="24"/>
              </w:rPr>
              <w:t>11</w:t>
            </w:r>
            <w:r>
              <w:rPr>
                <w:rFonts w:hint="eastAsia" w:eastAsia="仿宋_GB2312"/>
                <w:color w:val="auto"/>
                <w:sz w:val="24"/>
              </w:rPr>
              <w:t>月</w:t>
            </w:r>
            <w:r>
              <w:rPr>
                <w:rFonts w:eastAsia="仿宋_GB2312"/>
                <w:color w:val="auto"/>
                <w:sz w:val="24"/>
              </w:rPr>
              <w:t>30</w:t>
            </w:r>
            <w:r>
              <w:rPr>
                <w:rFonts w:hint="eastAsia" w:eastAsia="仿宋_GB2312"/>
                <w:color w:val="auto"/>
                <w:sz w:val="24"/>
              </w:rPr>
              <w:t>日前</w:t>
            </w:r>
          </w:p>
        </w:tc>
        <w:tc>
          <w:tcPr>
            <w:tcW w:w="3198" w:type="dxa"/>
            <w:gridSpan w:val="6"/>
            <w:vAlign w:val="center"/>
          </w:tcPr>
          <w:p>
            <w:pPr>
              <w:jc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与时间匹配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color w:val="auto"/>
                <w:sz w:val="24"/>
              </w:rPr>
            </w:pPr>
          </w:p>
        </w:tc>
        <w:tc>
          <w:tcPr>
            <w:tcW w:w="1549" w:type="dxa"/>
            <w:gridSpan w:val="4"/>
            <w:vMerge w:val="continue"/>
            <w:vAlign w:val="center"/>
          </w:tcPr>
          <w:p>
            <w:pPr>
              <w:autoSpaceDN w:val="0"/>
              <w:spacing w:line="320" w:lineRule="exact"/>
              <w:rPr>
                <w:rFonts w:ascii="仿宋_GB2312" w:hAnsi="仿宋_GB2312" w:eastAsia="仿宋_GB2312" w:cs="仿宋_GB2312"/>
                <w:color w:val="auto"/>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auto"/>
                <w:sz w:val="24"/>
              </w:rPr>
            </w:pPr>
          </w:p>
        </w:tc>
        <w:tc>
          <w:tcPr>
            <w:tcW w:w="2388" w:type="dxa"/>
            <w:gridSpan w:val="3"/>
            <w:vAlign w:val="center"/>
          </w:tcPr>
          <w:p>
            <w:pPr>
              <w:autoSpaceDN w:val="0"/>
              <w:spacing w:line="320" w:lineRule="exact"/>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3198" w:type="dxa"/>
            <w:gridSpan w:val="6"/>
            <w:vAlign w:val="center"/>
          </w:tcPr>
          <w:p>
            <w:pPr>
              <w:autoSpaceDN w:val="0"/>
              <w:spacing w:line="320" w:lineRule="exact"/>
              <w:jc w:val="center"/>
              <w:textAlignment w:val="center"/>
              <w:rPr>
                <w:rFonts w:ascii="仿宋_GB2312" w:hAnsi="仿宋_GB2312" w:eastAsia="仿宋_GB2312" w:cs="仿宋_GB2312"/>
                <w:b/>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color w:val="auto"/>
                <w:sz w:val="24"/>
              </w:rPr>
            </w:pPr>
          </w:p>
        </w:tc>
        <w:tc>
          <w:tcPr>
            <w:tcW w:w="1549" w:type="dxa"/>
            <w:gridSpan w:val="4"/>
            <w:vMerge w:val="continue"/>
            <w:vAlign w:val="center"/>
          </w:tcPr>
          <w:p>
            <w:pPr>
              <w:autoSpaceDN w:val="0"/>
              <w:spacing w:line="320" w:lineRule="exact"/>
              <w:rPr>
                <w:rFonts w:ascii="仿宋_GB2312" w:hAnsi="仿宋_GB2312" w:eastAsia="仿宋_GB2312" w:cs="仿宋_GB2312"/>
                <w:color w:val="auto"/>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成本指标</w:t>
            </w:r>
          </w:p>
        </w:tc>
        <w:tc>
          <w:tcPr>
            <w:tcW w:w="2388" w:type="dxa"/>
            <w:gridSpan w:val="3"/>
            <w:vAlign w:val="center"/>
          </w:tcPr>
          <w:p>
            <w:pPr>
              <w:autoSpaceDN w:val="0"/>
              <w:spacing w:line="320" w:lineRule="exact"/>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指标</w:t>
            </w:r>
            <w:r>
              <w:rPr>
                <w:rFonts w:ascii="仿宋_GB2312" w:hAnsi="仿宋_GB2312" w:eastAsia="仿宋_GB2312" w:cs="仿宋_GB2312"/>
                <w:color w:val="auto"/>
                <w:sz w:val="24"/>
              </w:rPr>
              <w:t>1</w:t>
            </w:r>
            <w:r>
              <w:rPr>
                <w:rFonts w:hint="eastAsia" w:ascii="仿宋_GB2312" w:hAnsi="仿宋_GB2312" w:eastAsia="仿宋_GB2312" w:cs="仿宋_GB2312"/>
                <w:color w:val="auto"/>
                <w:sz w:val="24"/>
              </w:rPr>
              <w:t>：</w:t>
            </w:r>
          </w:p>
        </w:tc>
        <w:tc>
          <w:tcPr>
            <w:tcW w:w="3198" w:type="dxa"/>
            <w:gridSpan w:val="6"/>
            <w:vAlign w:val="center"/>
          </w:tcPr>
          <w:p>
            <w:pPr>
              <w:autoSpaceDN w:val="0"/>
              <w:spacing w:line="320" w:lineRule="exact"/>
              <w:jc w:val="center"/>
              <w:textAlignment w:val="center"/>
              <w:rPr>
                <w:rFonts w:ascii="仿宋_GB2312" w:hAnsi="仿宋_GB2312" w:eastAsia="仿宋_GB2312" w:cs="仿宋_GB2312"/>
                <w:b/>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color w:val="auto"/>
                <w:sz w:val="24"/>
              </w:rPr>
            </w:pPr>
          </w:p>
        </w:tc>
        <w:tc>
          <w:tcPr>
            <w:tcW w:w="1549" w:type="dxa"/>
            <w:gridSpan w:val="4"/>
            <w:vMerge w:val="continue"/>
            <w:vAlign w:val="center"/>
          </w:tcPr>
          <w:p>
            <w:pPr>
              <w:autoSpaceDN w:val="0"/>
              <w:spacing w:line="320" w:lineRule="exact"/>
              <w:rPr>
                <w:rFonts w:ascii="仿宋_GB2312" w:hAnsi="仿宋_GB2312" w:eastAsia="仿宋_GB2312" w:cs="仿宋_GB2312"/>
                <w:color w:val="auto"/>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auto"/>
                <w:sz w:val="24"/>
              </w:rPr>
            </w:pPr>
          </w:p>
        </w:tc>
        <w:tc>
          <w:tcPr>
            <w:tcW w:w="2388" w:type="dxa"/>
            <w:gridSpan w:val="3"/>
            <w:vAlign w:val="center"/>
          </w:tcPr>
          <w:p>
            <w:pPr>
              <w:autoSpaceDN w:val="0"/>
              <w:spacing w:line="320" w:lineRule="exact"/>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指标</w:t>
            </w:r>
            <w:r>
              <w:rPr>
                <w:rFonts w:ascii="仿宋_GB2312" w:hAnsi="仿宋_GB2312" w:eastAsia="仿宋_GB2312" w:cs="仿宋_GB2312"/>
                <w:color w:val="auto"/>
                <w:sz w:val="24"/>
              </w:rPr>
              <w:t>2</w:t>
            </w:r>
            <w:r>
              <w:rPr>
                <w:rFonts w:hint="eastAsia" w:ascii="仿宋_GB2312" w:hAnsi="仿宋_GB2312" w:eastAsia="仿宋_GB2312" w:cs="仿宋_GB2312"/>
                <w:color w:val="auto"/>
                <w:sz w:val="24"/>
              </w:rPr>
              <w:t>：</w:t>
            </w:r>
          </w:p>
        </w:tc>
        <w:tc>
          <w:tcPr>
            <w:tcW w:w="3198" w:type="dxa"/>
            <w:gridSpan w:val="6"/>
            <w:vAlign w:val="center"/>
          </w:tcPr>
          <w:p>
            <w:pPr>
              <w:autoSpaceDN w:val="0"/>
              <w:spacing w:line="320" w:lineRule="exact"/>
              <w:jc w:val="center"/>
              <w:textAlignment w:val="center"/>
              <w:rPr>
                <w:rFonts w:ascii="仿宋_GB2312" w:hAnsi="仿宋_GB2312" w:eastAsia="仿宋_GB2312" w:cs="仿宋_GB2312"/>
                <w:b/>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color w:val="auto"/>
                <w:sz w:val="24"/>
              </w:rPr>
            </w:pPr>
          </w:p>
        </w:tc>
        <w:tc>
          <w:tcPr>
            <w:tcW w:w="1549" w:type="dxa"/>
            <w:gridSpan w:val="4"/>
            <w:vMerge w:val="continue"/>
            <w:vAlign w:val="center"/>
          </w:tcPr>
          <w:p>
            <w:pPr>
              <w:autoSpaceDN w:val="0"/>
              <w:spacing w:line="320" w:lineRule="exact"/>
              <w:rPr>
                <w:rFonts w:ascii="仿宋_GB2312" w:hAnsi="仿宋_GB2312" w:eastAsia="仿宋_GB2312" w:cs="仿宋_GB2312"/>
                <w:color w:val="auto"/>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auto"/>
                <w:sz w:val="24"/>
              </w:rPr>
            </w:pPr>
          </w:p>
        </w:tc>
        <w:tc>
          <w:tcPr>
            <w:tcW w:w="2388" w:type="dxa"/>
            <w:gridSpan w:val="3"/>
            <w:vAlign w:val="center"/>
          </w:tcPr>
          <w:p>
            <w:pPr>
              <w:autoSpaceDN w:val="0"/>
              <w:spacing w:line="320" w:lineRule="exact"/>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3198" w:type="dxa"/>
            <w:gridSpan w:val="6"/>
            <w:vAlign w:val="center"/>
          </w:tcPr>
          <w:p>
            <w:pPr>
              <w:autoSpaceDN w:val="0"/>
              <w:spacing w:line="320" w:lineRule="exact"/>
              <w:jc w:val="center"/>
              <w:textAlignment w:val="center"/>
              <w:rPr>
                <w:rFonts w:ascii="仿宋_GB2312" w:hAnsi="仿宋_GB2312" w:eastAsia="仿宋_GB2312" w:cs="仿宋_GB2312"/>
                <w:b/>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color w:val="auto"/>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效益目标</w:t>
            </w:r>
          </w:p>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社会效益</w:t>
            </w:r>
          </w:p>
        </w:tc>
        <w:tc>
          <w:tcPr>
            <w:tcW w:w="2388" w:type="dxa"/>
            <w:gridSpan w:val="3"/>
            <w:vAlign w:val="center"/>
          </w:tcPr>
          <w:p>
            <w:pPr>
              <w:autoSpaceDN w:val="0"/>
              <w:spacing w:line="320" w:lineRule="exact"/>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指标</w:t>
            </w:r>
            <w:r>
              <w:rPr>
                <w:rFonts w:ascii="仿宋_GB2312" w:hAnsi="仿宋_GB2312" w:eastAsia="仿宋_GB2312" w:cs="仿宋_GB2312"/>
                <w:color w:val="auto"/>
                <w:sz w:val="24"/>
              </w:rPr>
              <w:t>1</w:t>
            </w:r>
            <w:r>
              <w:rPr>
                <w:rFonts w:hint="eastAsia" w:ascii="仿宋_GB2312" w:hAnsi="仿宋_GB2312" w:eastAsia="仿宋_GB2312" w:cs="仿宋_GB2312"/>
                <w:color w:val="auto"/>
                <w:sz w:val="24"/>
              </w:rPr>
              <w:t>：</w:t>
            </w:r>
          </w:p>
          <w:p>
            <w:pPr>
              <w:autoSpaceDN w:val="0"/>
              <w:spacing w:line="320" w:lineRule="exact"/>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指标</w:t>
            </w:r>
            <w:r>
              <w:rPr>
                <w:rFonts w:ascii="仿宋_GB2312" w:hAnsi="仿宋_GB2312" w:eastAsia="仿宋_GB2312" w:cs="仿宋_GB2312"/>
                <w:color w:val="auto"/>
                <w:sz w:val="24"/>
              </w:rPr>
              <w:t>2</w:t>
            </w:r>
            <w:r>
              <w:rPr>
                <w:rFonts w:hint="eastAsia" w:ascii="仿宋_GB2312" w:hAnsi="仿宋_GB2312" w:eastAsia="仿宋_GB2312" w:cs="仿宋_GB2312"/>
                <w:color w:val="auto"/>
                <w:sz w:val="24"/>
              </w:rPr>
              <w:t>：</w:t>
            </w:r>
          </w:p>
          <w:p>
            <w:pPr>
              <w:autoSpaceDN w:val="0"/>
              <w:spacing w:line="320" w:lineRule="exact"/>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3198" w:type="dxa"/>
            <w:gridSpan w:val="6"/>
            <w:vAlign w:val="center"/>
          </w:tcPr>
          <w:p>
            <w:pPr>
              <w:autoSpaceDN w:val="0"/>
              <w:spacing w:line="320" w:lineRule="exact"/>
              <w:jc w:val="center"/>
              <w:textAlignment w:val="center"/>
              <w:rPr>
                <w:rFonts w:ascii="仿宋_GB2312" w:hAnsi="仿宋_GB2312" w:eastAsia="仿宋_GB2312" w:cs="仿宋_GB2312"/>
                <w:b/>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color w:val="auto"/>
                <w:sz w:val="24"/>
              </w:rPr>
            </w:pPr>
          </w:p>
        </w:tc>
        <w:tc>
          <w:tcPr>
            <w:tcW w:w="1549" w:type="dxa"/>
            <w:gridSpan w:val="4"/>
            <w:vMerge w:val="continue"/>
            <w:vAlign w:val="center"/>
          </w:tcPr>
          <w:p>
            <w:pPr>
              <w:autoSpaceDN w:val="0"/>
              <w:spacing w:line="320" w:lineRule="exact"/>
              <w:rPr>
                <w:rFonts w:ascii="仿宋_GB2312" w:hAnsi="仿宋_GB2312" w:eastAsia="仿宋_GB2312" w:cs="仿宋_GB2312"/>
                <w:color w:val="auto"/>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经济效益</w:t>
            </w:r>
          </w:p>
        </w:tc>
        <w:tc>
          <w:tcPr>
            <w:tcW w:w="2388" w:type="dxa"/>
            <w:gridSpan w:val="3"/>
            <w:vAlign w:val="center"/>
          </w:tcPr>
          <w:p>
            <w:pPr>
              <w:autoSpaceDN w:val="0"/>
              <w:spacing w:line="320" w:lineRule="exact"/>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指标</w:t>
            </w:r>
            <w:r>
              <w:rPr>
                <w:rFonts w:ascii="仿宋_GB2312" w:hAnsi="仿宋_GB2312" w:eastAsia="仿宋_GB2312" w:cs="仿宋_GB2312"/>
                <w:color w:val="auto"/>
                <w:sz w:val="24"/>
              </w:rPr>
              <w:t>1</w:t>
            </w:r>
            <w:r>
              <w:rPr>
                <w:rFonts w:hint="eastAsia" w:ascii="仿宋_GB2312" w:hAnsi="仿宋_GB2312" w:eastAsia="仿宋_GB2312" w:cs="仿宋_GB2312"/>
                <w:color w:val="auto"/>
                <w:sz w:val="24"/>
              </w:rPr>
              <w:t>：</w:t>
            </w:r>
          </w:p>
          <w:p>
            <w:pPr>
              <w:autoSpaceDN w:val="0"/>
              <w:spacing w:line="320" w:lineRule="exact"/>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指标</w:t>
            </w:r>
            <w:r>
              <w:rPr>
                <w:rFonts w:ascii="仿宋_GB2312" w:hAnsi="仿宋_GB2312" w:eastAsia="仿宋_GB2312" w:cs="仿宋_GB2312"/>
                <w:color w:val="auto"/>
                <w:sz w:val="24"/>
              </w:rPr>
              <w:t>2</w:t>
            </w:r>
            <w:r>
              <w:rPr>
                <w:rFonts w:hint="eastAsia" w:ascii="仿宋_GB2312" w:hAnsi="仿宋_GB2312" w:eastAsia="仿宋_GB2312" w:cs="仿宋_GB2312"/>
                <w:color w:val="auto"/>
                <w:sz w:val="24"/>
              </w:rPr>
              <w:t>：</w:t>
            </w:r>
          </w:p>
          <w:p>
            <w:pPr>
              <w:autoSpaceDN w:val="0"/>
              <w:spacing w:line="320" w:lineRule="exact"/>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3198" w:type="dxa"/>
            <w:gridSpan w:val="6"/>
            <w:vAlign w:val="center"/>
          </w:tcPr>
          <w:p>
            <w:pPr>
              <w:autoSpaceDN w:val="0"/>
              <w:spacing w:line="320" w:lineRule="exact"/>
              <w:jc w:val="center"/>
              <w:textAlignment w:val="center"/>
              <w:rPr>
                <w:rFonts w:ascii="仿宋_GB2312" w:hAnsi="仿宋_GB2312" w:eastAsia="仿宋_GB2312" w:cs="仿宋_GB2312"/>
                <w:b/>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color w:val="auto"/>
                <w:sz w:val="24"/>
              </w:rPr>
            </w:pPr>
          </w:p>
        </w:tc>
        <w:tc>
          <w:tcPr>
            <w:tcW w:w="1549" w:type="dxa"/>
            <w:gridSpan w:val="4"/>
            <w:vMerge w:val="continue"/>
            <w:vAlign w:val="center"/>
          </w:tcPr>
          <w:p>
            <w:pPr>
              <w:autoSpaceDN w:val="0"/>
              <w:spacing w:line="320" w:lineRule="exact"/>
              <w:rPr>
                <w:rFonts w:ascii="仿宋_GB2312" w:hAnsi="仿宋_GB2312" w:eastAsia="仿宋_GB2312" w:cs="仿宋_GB2312"/>
                <w:color w:val="auto"/>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生态效益</w:t>
            </w:r>
          </w:p>
        </w:tc>
        <w:tc>
          <w:tcPr>
            <w:tcW w:w="2388" w:type="dxa"/>
            <w:gridSpan w:val="3"/>
            <w:vAlign w:val="center"/>
          </w:tcPr>
          <w:p>
            <w:pPr>
              <w:autoSpaceDN w:val="0"/>
              <w:spacing w:line="320" w:lineRule="exact"/>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指标</w:t>
            </w:r>
            <w:r>
              <w:rPr>
                <w:rFonts w:ascii="仿宋_GB2312" w:hAnsi="仿宋_GB2312" w:eastAsia="仿宋_GB2312" w:cs="仿宋_GB2312"/>
                <w:color w:val="auto"/>
                <w:sz w:val="24"/>
              </w:rPr>
              <w:t>1</w:t>
            </w:r>
            <w:r>
              <w:rPr>
                <w:rFonts w:hint="eastAsia" w:ascii="仿宋_GB2312" w:hAnsi="仿宋_GB2312" w:eastAsia="仿宋_GB2312" w:cs="仿宋_GB2312"/>
                <w:color w:val="auto"/>
                <w:sz w:val="24"/>
              </w:rPr>
              <w:t>：</w:t>
            </w:r>
          </w:p>
          <w:p>
            <w:pPr>
              <w:autoSpaceDN w:val="0"/>
              <w:spacing w:line="320" w:lineRule="exact"/>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指标</w:t>
            </w:r>
            <w:r>
              <w:rPr>
                <w:rFonts w:ascii="仿宋_GB2312" w:hAnsi="仿宋_GB2312" w:eastAsia="仿宋_GB2312" w:cs="仿宋_GB2312"/>
                <w:color w:val="auto"/>
                <w:sz w:val="24"/>
              </w:rPr>
              <w:t>2</w:t>
            </w:r>
            <w:r>
              <w:rPr>
                <w:rFonts w:hint="eastAsia" w:ascii="仿宋_GB2312" w:hAnsi="仿宋_GB2312" w:eastAsia="仿宋_GB2312" w:cs="仿宋_GB2312"/>
                <w:color w:val="auto"/>
                <w:sz w:val="24"/>
              </w:rPr>
              <w:t>：</w:t>
            </w:r>
          </w:p>
          <w:p>
            <w:pPr>
              <w:autoSpaceDN w:val="0"/>
              <w:spacing w:line="320" w:lineRule="exact"/>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3198" w:type="dxa"/>
            <w:gridSpan w:val="6"/>
            <w:vAlign w:val="center"/>
          </w:tcPr>
          <w:p>
            <w:pPr>
              <w:autoSpaceDN w:val="0"/>
              <w:spacing w:line="320" w:lineRule="exact"/>
              <w:jc w:val="center"/>
              <w:textAlignment w:val="center"/>
              <w:rPr>
                <w:rFonts w:ascii="仿宋_GB2312" w:hAnsi="仿宋_GB2312" w:eastAsia="仿宋_GB2312" w:cs="仿宋_GB2312"/>
                <w:b/>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color w:val="auto"/>
                <w:sz w:val="24"/>
              </w:rPr>
            </w:pPr>
          </w:p>
        </w:tc>
        <w:tc>
          <w:tcPr>
            <w:tcW w:w="1549" w:type="dxa"/>
            <w:gridSpan w:val="4"/>
            <w:vMerge w:val="continue"/>
            <w:vAlign w:val="center"/>
          </w:tcPr>
          <w:p>
            <w:pPr>
              <w:autoSpaceDN w:val="0"/>
              <w:spacing w:line="320" w:lineRule="exact"/>
              <w:rPr>
                <w:rFonts w:ascii="仿宋_GB2312" w:hAnsi="仿宋_GB2312" w:eastAsia="仿宋_GB2312" w:cs="仿宋_GB2312"/>
                <w:color w:val="auto"/>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社会公众或服务对象满意度</w:t>
            </w:r>
          </w:p>
        </w:tc>
        <w:tc>
          <w:tcPr>
            <w:tcW w:w="2388" w:type="dxa"/>
            <w:gridSpan w:val="3"/>
            <w:vAlign w:val="center"/>
          </w:tcPr>
          <w:p>
            <w:pPr>
              <w:autoSpaceDN w:val="0"/>
              <w:spacing w:line="320" w:lineRule="exact"/>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指标</w:t>
            </w:r>
            <w:r>
              <w:rPr>
                <w:rFonts w:ascii="仿宋_GB2312" w:hAnsi="仿宋_GB2312" w:eastAsia="仿宋_GB2312" w:cs="仿宋_GB2312"/>
                <w:color w:val="auto"/>
                <w:sz w:val="24"/>
              </w:rPr>
              <w:t>1</w:t>
            </w:r>
            <w:r>
              <w:rPr>
                <w:rFonts w:hint="eastAsia" w:ascii="仿宋_GB2312" w:hAnsi="仿宋_GB2312" w:eastAsia="仿宋_GB2312" w:cs="仿宋_GB2312"/>
                <w:color w:val="auto"/>
                <w:sz w:val="24"/>
              </w:rPr>
              <w:t>：消费者对消费环境满意度</w:t>
            </w:r>
          </w:p>
        </w:tc>
        <w:tc>
          <w:tcPr>
            <w:tcW w:w="3198" w:type="dxa"/>
            <w:gridSpan w:val="6"/>
            <w:vAlign w:val="center"/>
          </w:tcPr>
          <w:p>
            <w:pPr>
              <w:autoSpaceDN w:val="0"/>
              <w:spacing w:line="320" w:lineRule="exact"/>
              <w:jc w:val="center"/>
              <w:textAlignment w:val="center"/>
              <w:rPr>
                <w:rFonts w:ascii="仿宋_GB2312" w:hAnsi="仿宋_GB2312" w:eastAsia="仿宋_GB2312" w:cs="仿宋_GB2312"/>
                <w:b/>
                <w:color w:val="auto"/>
                <w:sz w:val="24"/>
              </w:rPr>
            </w:pPr>
            <w:r>
              <w:rPr>
                <w:rFonts w:hint="eastAsia" w:ascii="仿宋_GB2312" w:hAnsi="仿宋_GB2312" w:eastAsia="仿宋_GB2312" w:cs="仿宋_GB2312"/>
                <w:bCs/>
                <w:color w:val="auto"/>
                <w:sz w:val="24"/>
              </w:rPr>
              <w:t>达到</w:t>
            </w:r>
            <w:r>
              <w:rPr>
                <w:rFonts w:ascii="仿宋_GB2312" w:hAnsi="仿宋_GB2312" w:eastAsia="仿宋_GB2312" w:cs="仿宋_GB2312"/>
                <w:bCs/>
                <w:color w:val="auto"/>
                <w:sz w:val="24"/>
              </w:rPr>
              <w:t>90%</w:t>
            </w:r>
            <w:r>
              <w:rPr>
                <w:rFonts w:hint="eastAsia" w:ascii="仿宋_GB2312" w:hAnsi="仿宋_GB2312" w:eastAsia="仿宋_GB2312" w:cs="仿宋_GB2312"/>
                <w:bCs/>
                <w:color w:val="auto"/>
                <w:sz w:val="24"/>
              </w:rPr>
              <w:t>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绩效自评综合得分</w:t>
            </w:r>
          </w:p>
        </w:tc>
        <w:tc>
          <w:tcPr>
            <w:tcW w:w="7003" w:type="dxa"/>
            <w:gridSpan w:val="11"/>
            <w:vAlign w:val="center"/>
          </w:tcPr>
          <w:p>
            <w:pPr>
              <w:autoSpaceDN w:val="0"/>
              <w:spacing w:line="320" w:lineRule="exact"/>
              <w:textAlignment w:val="center"/>
              <w:rPr>
                <w:rFonts w:ascii="仿宋_GB2312" w:hAnsi="仿宋_GB2312" w:eastAsia="仿宋_GB2312" w:cs="仿宋_GB2312"/>
                <w:color w:val="auto"/>
                <w:sz w:val="24"/>
              </w:rPr>
            </w:pPr>
            <w:r>
              <w:rPr>
                <w:rFonts w:ascii="仿宋_GB2312" w:hAnsi="仿宋_GB2312" w:eastAsia="仿宋_GB2312" w:cs="仿宋_GB2312"/>
                <w:color w:val="auto"/>
                <w:sz w:val="24"/>
              </w:rPr>
              <w:t>97</w:t>
            </w:r>
            <w:r>
              <w:rPr>
                <w:rFonts w:hint="eastAsia" w:ascii="仿宋_GB2312" w:hAnsi="仿宋_GB2312" w:eastAsia="仿宋_GB2312" w:cs="仿宋_GB2312"/>
                <w:color w:val="auto"/>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评价等次</w:t>
            </w:r>
          </w:p>
        </w:tc>
        <w:tc>
          <w:tcPr>
            <w:tcW w:w="7003" w:type="dxa"/>
            <w:gridSpan w:val="11"/>
            <w:vAlign w:val="center"/>
          </w:tcPr>
          <w:p>
            <w:pPr>
              <w:autoSpaceDN w:val="0"/>
              <w:spacing w:line="320" w:lineRule="exac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993" w:type="dxa"/>
            <w:gridSpan w:val="16"/>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黑体" w:hAnsi="黑体" w:eastAsia="黑体" w:cs="黑体"/>
                <w:color w:val="auto"/>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姓名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职务</w:t>
            </w:r>
            <w:r>
              <w:rPr>
                <w:rFonts w:ascii="仿宋_GB2312" w:hAnsi="仿宋_GB2312" w:eastAsia="仿宋_GB2312" w:cs="仿宋_GB2312"/>
                <w:color w:val="auto"/>
                <w:sz w:val="24"/>
              </w:rPr>
              <w:t>/</w:t>
            </w:r>
            <w:r>
              <w:rPr>
                <w:rFonts w:hint="eastAsia" w:ascii="仿宋_GB2312" w:hAnsi="仿宋_GB2312" w:eastAsia="仿宋_GB2312" w:cs="仿宋_GB2312"/>
                <w:color w:val="auto"/>
                <w:sz w:val="24"/>
              </w:rPr>
              <w:t>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单位</w:t>
            </w:r>
          </w:p>
        </w:tc>
        <w:tc>
          <w:tcPr>
            <w:tcW w:w="3299" w:type="dxa"/>
            <w:gridSpan w:val="7"/>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许平亚</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局长</w:t>
            </w:r>
          </w:p>
        </w:tc>
        <w:tc>
          <w:tcPr>
            <w:tcW w:w="1479" w:type="dxa"/>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市场监管局</w:t>
            </w:r>
          </w:p>
        </w:tc>
        <w:tc>
          <w:tcPr>
            <w:tcW w:w="3299" w:type="dxa"/>
            <w:gridSpan w:val="7"/>
            <w:vAlign w:val="center"/>
          </w:tcPr>
          <w:p>
            <w:pPr>
              <w:autoSpaceDN w:val="0"/>
              <w:spacing w:line="320" w:lineRule="exact"/>
              <w:jc w:val="center"/>
              <w:textAlignment w:val="center"/>
              <w:rPr>
                <w:rFonts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赵奇志</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副局长</w:t>
            </w:r>
          </w:p>
        </w:tc>
        <w:tc>
          <w:tcPr>
            <w:tcW w:w="1479" w:type="dxa"/>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市场监管局</w:t>
            </w:r>
          </w:p>
        </w:tc>
        <w:tc>
          <w:tcPr>
            <w:tcW w:w="3299" w:type="dxa"/>
            <w:gridSpan w:val="7"/>
            <w:vAlign w:val="center"/>
          </w:tcPr>
          <w:p>
            <w:pPr>
              <w:autoSpaceDN w:val="0"/>
              <w:spacing w:line="320" w:lineRule="exact"/>
              <w:jc w:val="center"/>
              <w:textAlignment w:val="center"/>
              <w:rPr>
                <w:rFonts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钟辉雄</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科长</w:t>
            </w:r>
          </w:p>
        </w:tc>
        <w:tc>
          <w:tcPr>
            <w:tcW w:w="1479" w:type="dxa"/>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市场监管局</w:t>
            </w:r>
          </w:p>
        </w:tc>
        <w:tc>
          <w:tcPr>
            <w:tcW w:w="3299" w:type="dxa"/>
            <w:gridSpan w:val="7"/>
            <w:vAlign w:val="center"/>
          </w:tcPr>
          <w:p>
            <w:pPr>
              <w:autoSpaceDN w:val="0"/>
              <w:spacing w:line="320" w:lineRule="exact"/>
              <w:jc w:val="center"/>
              <w:textAlignment w:val="center"/>
              <w:rPr>
                <w:rFonts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徐瑶</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副科长</w:t>
            </w:r>
          </w:p>
        </w:tc>
        <w:tc>
          <w:tcPr>
            <w:tcW w:w="1479" w:type="dxa"/>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市场监管局</w:t>
            </w:r>
          </w:p>
        </w:tc>
        <w:tc>
          <w:tcPr>
            <w:tcW w:w="3299" w:type="dxa"/>
            <w:gridSpan w:val="7"/>
            <w:vAlign w:val="center"/>
          </w:tcPr>
          <w:p>
            <w:pPr>
              <w:autoSpaceDN w:val="0"/>
              <w:spacing w:line="320" w:lineRule="exact"/>
              <w:jc w:val="center"/>
              <w:textAlignment w:val="center"/>
              <w:rPr>
                <w:rFonts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22" w:hRule="atLeast"/>
          <w:jc w:val="center"/>
        </w:trPr>
        <w:tc>
          <w:tcPr>
            <w:tcW w:w="9993" w:type="dxa"/>
            <w:gridSpan w:val="16"/>
            <w:vAlign w:val="center"/>
          </w:tcPr>
          <w:p>
            <w:pPr>
              <w:autoSpaceDN w:val="0"/>
              <w:spacing w:line="320" w:lineRule="exact"/>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评价组组长（签字）：</w:t>
            </w:r>
          </w:p>
          <w:p>
            <w:pPr>
              <w:autoSpaceDN w:val="0"/>
              <w:spacing w:line="320" w:lineRule="exact"/>
              <w:jc w:val="left"/>
              <w:textAlignment w:val="center"/>
              <w:rPr>
                <w:rFonts w:ascii="仿宋_GB2312" w:hAnsi="仿宋_GB2312" w:eastAsia="仿宋_GB2312" w:cs="仿宋_GB2312"/>
                <w:color w:val="auto"/>
                <w:sz w:val="24"/>
              </w:rPr>
            </w:pPr>
          </w:p>
          <w:p>
            <w:pPr>
              <w:autoSpaceDN w:val="0"/>
              <w:spacing w:line="320" w:lineRule="exact"/>
              <w:jc w:val="left"/>
              <w:textAlignment w:val="center"/>
              <w:rPr>
                <w:rFonts w:ascii="仿宋_GB2312" w:hAnsi="仿宋_GB2312" w:eastAsia="仿宋_GB2312" w:cs="仿宋_GB2312"/>
                <w:color w:val="auto"/>
                <w:sz w:val="24"/>
              </w:rPr>
            </w:pPr>
          </w:p>
          <w:p>
            <w:pPr>
              <w:autoSpaceDN w:val="0"/>
              <w:spacing w:line="320" w:lineRule="exact"/>
              <w:jc w:val="left"/>
              <w:textAlignment w:val="center"/>
              <w:rPr>
                <w:rFonts w:ascii="仿宋_GB2312" w:hAnsi="仿宋_GB2312" w:eastAsia="仿宋_GB2312" w:cs="仿宋_GB2312"/>
                <w:color w:val="auto"/>
                <w:sz w:val="24"/>
              </w:rPr>
            </w:pPr>
          </w:p>
          <w:p>
            <w:pPr>
              <w:autoSpaceDN w:val="0"/>
              <w:spacing w:line="320" w:lineRule="exact"/>
              <w:jc w:val="left"/>
              <w:textAlignment w:val="center"/>
              <w:rPr>
                <w:rFonts w:ascii="仿宋_GB2312" w:hAnsi="仿宋_GB2312" w:eastAsia="仿宋_GB2312" w:cs="仿宋_GB2312"/>
                <w:color w:val="auto"/>
                <w:sz w:val="24"/>
              </w:rPr>
            </w:pPr>
          </w:p>
          <w:p>
            <w:pPr>
              <w:autoSpaceDN w:val="0"/>
              <w:spacing w:line="320" w:lineRule="exact"/>
              <w:jc w:val="left"/>
              <w:textAlignment w:val="center"/>
              <w:rPr>
                <w:rFonts w:ascii="仿宋_GB2312" w:hAnsi="仿宋_GB2312" w:eastAsia="仿宋_GB2312" w:cs="仿宋_GB2312"/>
                <w:color w:val="auto"/>
                <w:sz w:val="24"/>
              </w:rPr>
            </w:pPr>
          </w:p>
          <w:p>
            <w:pPr>
              <w:autoSpaceDN w:val="0"/>
              <w:spacing w:line="320" w:lineRule="exact"/>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993" w:type="dxa"/>
            <w:gridSpan w:val="16"/>
            <w:vAlign w:val="center"/>
          </w:tcPr>
          <w:p>
            <w:pPr>
              <w:autoSpaceDN w:val="0"/>
              <w:spacing w:line="320" w:lineRule="exact"/>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部门（单位）意见：</w:t>
            </w:r>
          </w:p>
          <w:p>
            <w:pPr>
              <w:autoSpaceDN w:val="0"/>
              <w:spacing w:line="320" w:lineRule="exact"/>
              <w:jc w:val="left"/>
              <w:textAlignment w:val="center"/>
              <w:rPr>
                <w:rFonts w:ascii="仿宋_GB2312" w:hAnsi="仿宋_GB2312" w:eastAsia="仿宋_GB2312" w:cs="仿宋_GB2312"/>
                <w:color w:val="auto"/>
                <w:sz w:val="24"/>
              </w:rPr>
            </w:pPr>
          </w:p>
          <w:p>
            <w:pPr>
              <w:autoSpaceDN w:val="0"/>
              <w:spacing w:line="320" w:lineRule="exact"/>
              <w:jc w:val="left"/>
              <w:textAlignment w:val="center"/>
              <w:rPr>
                <w:rFonts w:ascii="仿宋_GB2312" w:hAnsi="仿宋_GB2312" w:eastAsia="仿宋_GB2312" w:cs="仿宋_GB2312"/>
                <w:color w:val="auto"/>
                <w:sz w:val="24"/>
              </w:rPr>
            </w:pPr>
          </w:p>
          <w:p>
            <w:pPr>
              <w:autoSpaceDN w:val="0"/>
              <w:spacing w:line="320" w:lineRule="exact"/>
              <w:jc w:val="left"/>
              <w:textAlignment w:val="center"/>
              <w:rPr>
                <w:rFonts w:ascii="仿宋_GB2312" w:hAnsi="仿宋_GB2312" w:eastAsia="仿宋_GB2312" w:cs="仿宋_GB2312"/>
                <w:color w:val="auto"/>
                <w:sz w:val="24"/>
              </w:rPr>
            </w:pPr>
          </w:p>
          <w:p>
            <w:pPr>
              <w:autoSpaceDN w:val="0"/>
              <w:spacing w:line="320" w:lineRule="exact"/>
              <w:jc w:val="left"/>
              <w:textAlignment w:val="center"/>
              <w:rPr>
                <w:rFonts w:ascii="仿宋_GB2312" w:hAnsi="仿宋_GB2312" w:eastAsia="仿宋_GB2312" w:cs="仿宋_GB2312"/>
                <w:color w:val="auto"/>
                <w:sz w:val="24"/>
              </w:rPr>
            </w:pPr>
          </w:p>
          <w:p>
            <w:pPr>
              <w:autoSpaceDN w:val="0"/>
              <w:spacing w:line="320" w:lineRule="exact"/>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部门（单位）负责人（签章）：</w:t>
            </w:r>
          </w:p>
          <w:p>
            <w:pPr>
              <w:autoSpaceDN w:val="0"/>
              <w:spacing w:line="320" w:lineRule="exact"/>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993" w:type="dxa"/>
            <w:gridSpan w:val="16"/>
            <w:vAlign w:val="center"/>
          </w:tcPr>
          <w:p>
            <w:pPr>
              <w:spacing w:line="320" w:lineRule="exact"/>
              <w:rPr>
                <w:rFonts w:eastAsia="仿宋_GB2312"/>
                <w:color w:val="auto"/>
                <w:sz w:val="24"/>
              </w:rPr>
            </w:pPr>
            <w:r>
              <w:rPr>
                <w:rFonts w:hint="eastAsia" w:eastAsia="仿宋_GB2312"/>
                <w:color w:val="auto"/>
                <w:sz w:val="24"/>
              </w:rPr>
              <w:t>财政部门归口业务科室意见：</w:t>
            </w:r>
          </w:p>
          <w:p>
            <w:pPr>
              <w:spacing w:line="320" w:lineRule="exact"/>
              <w:rPr>
                <w:rFonts w:eastAsia="仿宋_GB2312"/>
                <w:color w:val="auto"/>
                <w:sz w:val="24"/>
              </w:rPr>
            </w:pPr>
          </w:p>
          <w:p>
            <w:pPr>
              <w:spacing w:line="320" w:lineRule="exact"/>
              <w:rPr>
                <w:rFonts w:eastAsia="仿宋_GB2312"/>
                <w:color w:val="auto"/>
                <w:sz w:val="24"/>
              </w:rPr>
            </w:pPr>
          </w:p>
          <w:p>
            <w:pPr>
              <w:spacing w:line="320" w:lineRule="exact"/>
              <w:rPr>
                <w:rFonts w:eastAsia="仿宋_GB2312"/>
                <w:color w:val="auto"/>
                <w:sz w:val="24"/>
              </w:rPr>
            </w:pPr>
          </w:p>
          <w:p>
            <w:pPr>
              <w:spacing w:line="320" w:lineRule="exact"/>
              <w:rPr>
                <w:rFonts w:eastAsia="仿宋_GB2312"/>
                <w:color w:val="auto"/>
                <w:sz w:val="24"/>
              </w:rPr>
            </w:pPr>
          </w:p>
          <w:p>
            <w:pPr>
              <w:spacing w:line="320" w:lineRule="exact"/>
              <w:rPr>
                <w:rFonts w:eastAsia="仿宋_GB2312"/>
                <w:color w:val="auto"/>
                <w:sz w:val="24"/>
              </w:rPr>
            </w:pPr>
            <w:r>
              <w:rPr>
                <w:rFonts w:hint="eastAsia" w:eastAsia="仿宋_GB2312"/>
                <w:color w:val="auto"/>
                <w:sz w:val="24"/>
              </w:rPr>
              <w:t>财政部门归口业务科室负责人（签章）：</w:t>
            </w:r>
          </w:p>
          <w:p>
            <w:pPr>
              <w:autoSpaceDN w:val="0"/>
              <w:spacing w:line="320" w:lineRule="exact"/>
              <w:jc w:val="left"/>
              <w:textAlignment w:val="center"/>
              <w:rPr>
                <w:rFonts w:ascii="仿宋_GB2312" w:hAnsi="仿宋_GB2312" w:eastAsia="仿宋_GB2312" w:cs="仿宋_GB2312"/>
                <w:color w:val="auto"/>
                <w:sz w:val="24"/>
              </w:rPr>
            </w:pPr>
            <w:r>
              <w:rPr>
                <w:rFonts w:hint="eastAsia" w:eastAsia="仿宋_GB2312"/>
                <w:color w:val="auto"/>
                <w:sz w:val="24"/>
              </w:rPr>
              <w:t>年月日</w:t>
            </w:r>
          </w:p>
        </w:tc>
      </w:tr>
    </w:tbl>
    <w:p>
      <w:pPr>
        <w:rPr>
          <w:rFonts w:eastAsia="仿宋_GB2312" w:cs="仿宋_GB2312"/>
          <w:bCs/>
          <w:color w:val="auto"/>
          <w:sz w:val="28"/>
          <w:szCs w:val="28"/>
        </w:rPr>
      </w:pPr>
      <w:r>
        <w:rPr>
          <w:rFonts w:hint="eastAsia" w:eastAsia="仿宋_GB2312" w:cs="仿宋_GB2312"/>
          <w:bCs/>
          <w:color w:val="auto"/>
          <w:sz w:val="28"/>
          <w:szCs w:val="28"/>
        </w:rPr>
        <w:t>填报人（签名）：徐瑶联系电话：</w:t>
      </w:r>
      <w:r>
        <w:rPr>
          <w:rFonts w:eastAsia="仿宋_GB2312" w:cs="仿宋_GB2312"/>
          <w:bCs/>
          <w:color w:val="auto"/>
          <w:sz w:val="28"/>
          <w:szCs w:val="28"/>
        </w:rPr>
        <w:t>0730-8224907</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color w:val="auto"/>
                <w:sz w:val="28"/>
                <w:szCs w:val="28"/>
              </w:rPr>
            </w:pPr>
            <w:r>
              <w:rPr>
                <w:rFonts w:hint="eastAsia" w:ascii="黑体" w:hAnsi="黑体" w:eastAsia="黑体" w:cs="黑体"/>
                <w:bCs/>
                <w:color w:val="auto"/>
                <w:sz w:val="28"/>
                <w:szCs w:val="28"/>
              </w:rPr>
              <w:t>五、评价报告综述（文字部分）</w:t>
            </w:r>
          </w:p>
          <w:p>
            <w:pPr>
              <w:spacing w:line="440" w:lineRule="exact"/>
              <w:ind w:firstLine="640" w:firstLineChars="200"/>
              <w:rPr>
                <w:rFonts w:eastAsia="仿宋_GB2312"/>
                <w:color w:val="auto"/>
                <w:sz w:val="32"/>
                <w:szCs w:val="32"/>
              </w:rPr>
            </w:pPr>
          </w:p>
          <w:p>
            <w:pPr>
              <w:spacing w:line="56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rPr>
              <w:t>一、部门（单位）概况</w:t>
            </w:r>
          </w:p>
          <w:p>
            <w:pPr>
              <w:spacing w:line="56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（一）部门（单位）基本情况</w:t>
            </w:r>
          </w:p>
          <w:p>
            <w:pPr>
              <w:pStyle w:val="6"/>
              <w:spacing w:before="0" w:beforeAutospacing="0" w:after="0" w:afterAutospacing="0"/>
              <w:ind w:firstLine="421" w:firstLineChars="150"/>
              <w:rPr>
                <w:rFonts w:ascii="Arial" w:hAnsi="Arial" w:cs="Arial"/>
                <w:b/>
                <w:color w:val="auto"/>
                <w:sz w:val="28"/>
              </w:rPr>
            </w:pPr>
            <w:r>
              <w:rPr>
                <w:rFonts w:ascii="仿宋_GB2312" w:hAnsi="仿宋_GB2312" w:eastAsia="仿宋_GB2312" w:cs="仿宋_GB2312"/>
                <w:b/>
                <w:color w:val="auto"/>
                <w:sz w:val="28"/>
                <w:szCs w:val="28"/>
              </w:rPr>
              <w:t>1</w:t>
            </w:r>
            <w:r>
              <w:rPr>
                <w:rFonts w:hint="eastAsia" w:ascii="仿宋_GB2312" w:hAnsi="仿宋_GB2312" w:eastAsia="仿宋_GB2312" w:cs="仿宋_GB2312"/>
                <w:b/>
                <w:color w:val="auto"/>
                <w:sz w:val="28"/>
                <w:szCs w:val="28"/>
              </w:rPr>
              <w:t>、机构设置</w:t>
            </w:r>
          </w:p>
          <w:p>
            <w:pPr>
              <w:pStyle w:val="6"/>
              <w:spacing w:before="0" w:beforeAutospacing="0" w:after="0" w:afterAutospacing="0"/>
              <w:ind w:firstLine="57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根据市委编办核定，我局设置机构</w:t>
            </w:r>
            <w:r>
              <w:rPr>
                <w:rFonts w:ascii="仿宋_GB2312" w:hAnsi="仿宋_GB2312" w:eastAsia="仿宋_GB2312" w:cs="仿宋_GB2312"/>
                <w:color w:val="auto"/>
                <w:sz w:val="28"/>
                <w:szCs w:val="28"/>
              </w:rPr>
              <w:t>43</w:t>
            </w:r>
            <w:r>
              <w:rPr>
                <w:rFonts w:hint="eastAsia" w:ascii="仿宋_GB2312" w:hAnsi="仿宋_GB2312" w:eastAsia="仿宋_GB2312" w:cs="仿宋_GB2312"/>
                <w:color w:val="auto"/>
                <w:sz w:val="28"/>
                <w:szCs w:val="28"/>
              </w:rPr>
              <w:t>个，其中内设机构</w:t>
            </w:r>
            <w:r>
              <w:rPr>
                <w:rFonts w:ascii="仿宋_GB2312" w:hAnsi="仿宋_GB2312" w:eastAsia="仿宋_GB2312" w:cs="仿宋_GB2312"/>
                <w:color w:val="auto"/>
                <w:sz w:val="28"/>
                <w:szCs w:val="28"/>
              </w:rPr>
              <w:t>33</w:t>
            </w:r>
            <w:r>
              <w:rPr>
                <w:rFonts w:hint="eastAsia" w:ascii="仿宋_GB2312" w:hAnsi="仿宋_GB2312" w:eastAsia="仿宋_GB2312" w:cs="仿宋_GB2312"/>
                <w:color w:val="auto"/>
                <w:sz w:val="28"/>
                <w:szCs w:val="28"/>
              </w:rPr>
              <w:t>个，副处级综合行政执法支队</w:t>
            </w:r>
            <w:r>
              <w:rPr>
                <w:rFonts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rPr>
              <w:t>个，直属事业单位</w:t>
            </w:r>
            <w:r>
              <w:rPr>
                <w:rFonts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rPr>
              <w:t>个，直属分局</w:t>
            </w:r>
            <w:r>
              <w:rPr>
                <w:rFonts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rPr>
              <w:t>个。</w:t>
            </w:r>
          </w:p>
          <w:p>
            <w:pPr>
              <w:pStyle w:val="6"/>
              <w:spacing w:before="0" w:beforeAutospacing="0" w:after="0" w:afterAutospacing="0"/>
              <w:ind w:firstLine="570"/>
              <w:rPr>
                <w:rFonts w:ascii="仿宋_GB2312" w:eastAsia="仿宋_GB2312"/>
                <w:color w:val="auto"/>
                <w:sz w:val="30"/>
                <w:szCs w:val="30"/>
              </w:rPr>
            </w:pPr>
            <w:r>
              <w:rPr>
                <w:rFonts w:hint="eastAsia" w:ascii="仿宋_GB2312" w:hAnsi="仿宋_GB2312" w:eastAsia="仿宋_GB2312" w:cs="仿宋_GB2312"/>
                <w:color w:val="auto"/>
                <w:sz w:val="28"/>
                <w:szCs w:val="28"/>
              </w:rPr>
              <w:t>内设科室分别是办公室、</w:t>
            </w:r>
            <w:r>
              <w:rPr>
                <w:rFonts w:ascii="仿宋_GB2312" w:eastAsia="仿宋_GB2312"/>
                <w:color w:val="auto"/>
                <w:sz w:val="30"/>
                <w:szCs w:val="30"/>
              </w:rPr>
              <w:tab/>
            </w:r>
            <w:r>
              <w:rPr>
                <w:rFonts w:hint="eastAsia" w:ascii="仿宋_GB2312" w:eastAsia="仿宋_GB2312"/>
                <w:color w:val="auto"/>
                <w:sz w:val="30"/>
                <w:szCs w:val="30"/>
              </w:rPr>
              <w:t>综合规划和科技信息化科</w:t>
            </w:r>
            <w:r>
              <w:rPr>
                <w:rFonts w:hint="eastAsia" w:ascii="仿宋_GB2312" w:hAnsi="仿宋_GB2312" w:eastAsia="仿宋_GB2312" w:cs="仿宋_GB2312"/>
                <w:color w:val="auto"/>
                <w:sz w:val="28"/>
                <w:szCs w:val="28"/>
              </w:rPr>
              <w:t>、</w:t>
            </w:r>
            <w:r>
              <w:rPr>
                <w:rFonts w:hint="eastAsia" w:ascii="仿宋_GB2312" w:eastAsia="仿宋_GB2312"/>
                <w:color w:val="auto"/>
                <w:sz w:val="30"/>
                <w:szCs w:val="30"/>
              </w:rPr>
              <w:t>政策法规科、信用监督管理科、网络交易监督管理科、广告监督管理科</w:t>
            </w:r>
            <w:r>
              <w:rPr>
                <w:rFonts w:hint="eastAsia" w:ascii="仿宋_GB2312" w:hAnsi="仿宋_GB2312" w:eastAsia="仿宋_GB2312" w:cs="仿宋_GB2312"/>
                <w:color w:val="auto"/>
                <w:sz w:val="28"/>
                <w:szCs w:val="28"/>
              </w:rPr>
              <w:t>、</w:t>
            </w:r>
            <w:r>
              <w:rPr>
                <w:rFonts w:hint="eastAsia" w:ascii="仿宋_GB2312" w:eastAsia="仿宋_GB2312"/>
                <w:color w:val="auto"/>
                <w:sz w:val="30"/>
                <w:szCs w:val="30"/>
              </w:rPr>
              <w:t>登记注册科</w:t>
            </w:r>
            <w:r>
              <w:rPr>
                <w:rFonts w:hint="eastAsia" w:ascii="仿宋_GB2312" w:hAnsi="仿宋_GB2312" w:eastAsia="仿宋_GB2312" w:cs="仿宋_GB2312"/>
                <w:color w:val="auto"/>
                <w:sz w:val="28"/>
                <w:szCs w:val="28"/>
              </w:rPr>
              <w:t>、</w:t>
            </w:r>
            <w:r>
              <w:rPr>
                <w:rFonts w:hint="eastAsia" w:ascii="仿宋_GB2312" w:eastAsia="仿宋_GB2312"/>
                <w:color w:val="auto"/>
                <w:sz w:val="30"/>
                <w:szCs w:val="30"/>
              </w:rPr>
              <w:t>市场规范管理科</w:t>
            </w:r>
            <w:r>
              <w:rPr>
                <w:rFonts w:hint="eastAsia" w:ascii="仿宋_GB2312" w:hAnsi="仿宋_GB2312" w:eastAsia="仿宋_GB2312" w:cs="仿宋_GB2312"/>
                <w:color w:val="auto"/>
                <w:sz w:val="28"/>
                <w:szCs w:val="28"/>
              </w:rPr>
              <w:t>、</w:t>
            </w:r>
            <w:r>
              <w:rPr>
                <w:rFonts w:hint="eastAsia" w:ascii="仿宋_GB2312" w:eastAsia="仿宋_GB2312"/>
                <w:color w:val="auto"/>
                <w:sz w:val="30"/>
                <w:szCs w:val="30"/>
              </w:rPr>
              <w:t>反不正当竞争和反垄断科</w:t>
            </w:r>
            <w:r>
              <w:rPr>
                <w:rFonts w:hint="eastAsia" w:ascii="仿宋_GB2312" w:hAnsi="仿宋_GB2312" w:eastAsia="仿宋_GB2312" w:cs="仿宋_GB2312"/>
                <w:color w:val="auto"/>
                <w:sz w:val="28"/>
                <w:szCs w:val="28"/>
              </w:rPr>
              <w:t>、</w:t>
            </w:r>
            <w:r>
              <w:rPr>
                <w:rFonts w:hint="eastAsia" w:ascii="仿宋_GB2312" w:eastAsia="仿宋_GB2312"/>
                <w:color w:val="auto"/>
                <w:sz w:val="30"/>
                <w:szCs w:val="30"/>
              </w:rPr>
              <w:t>价格监督管理科</w:t>
            </w:r>
            <w:r>
              <w:rPr>
                <w:rFonts w:hint="eastAsia" w:ascii="仿宋_GB2312" w:hAnsi="仿宋_GB2312" w:eastAsia="仿宋_GB2312" w:cs="仿宋_GB2312"/>
                <w:color w:val="auto"/>
                <w:sz w:val="28"/>
                <w:szCs w:val="28"/>
              </w:rPr>
              <w:t>、</w:t>
            </w:r>
            <w:r>
              <w:rPr>
                <w:rFonts w:hint="eastAsia" w:ascii="仿宋_GB2312" w:eastAsia="仿宋_GB2312"/>
                <w:color w:val="auto"/>
                <w:sz w:val="30"/>
                <w:szCs w:val="30"/>
              </w:rPr>
              <w:t>投诉举报科</w:t>
            </w:r>
            <w:r>
              <w:rPr>
                <w:rFonts w:hint="eastAsia" w:ascii="仿宋_GB2312" w:hAnsi="仿宋_GB2312" w:eastAsia="仿宋_GB2312" w:cs="仿宋_GB2312"/>
                <w:color w:val="auto"/>
                <w:sz w:val="28"/>
                <w:szCs w:val="28"/>
              </w:rPr>
              <w:t>、</w:t>
            </w:r>
            <w:r>
              <w:rPr>
                <w:rFonts w:hint="eastAsia" w:ascii="仿宋_GB2312" w:eastAsia="仿宋_GB2312"/>
                <w:color w:val="auto"/>
                <w:sz w:val="30"/>
                <w:szCs w:val="30"/>
              </w:rPr>
              <w:t>质量发展科、产品质量安全监督管理科</w:t>
            </w:r>
            <w:r>
              <w:rPr>
                <w:rFonts w:hint="eastAsia" w:ascii="仿宋_GB2312" w:hAnsi="仿宋_GB2312" w:eastAsia="仿宋_GB2312" w:cs="仿宋_GB2312"/>
                <w:color w:val="auto"/>
                <w:sz w:val="28"/>
                <w:szCs w:val="28"/>
              </w:rPr>
              <w:t>、</w:t>
            </w:r>
            <w:r>
              <w:rPr>
                <w:rFonts w:hint="eastAsia" w:ascii="仿宋_GB2312" w:eastAsia="仿宋_GB2312"/>
                <w:color w:val="auto"/>
                <w:sz w:val="30"/>
                <w:szCs w:val="30"/>
              </w:rPr>
              <w:t>食品安全协调科</w:t>
            </w:r>
            <w:r>
              <w:rPr>
                <w:rFonts w:hint="eastAsia" w:ascii="仿宋_GB2312" w:hAnsi="仿宋_GB2312" w:eastAsia="仿宋_GB2312" w:cs="仿宋_GB2312"/>
                <w:color w:val="auto"/>
                <w:sz w:val="28"/>
                <w:szCs w:val="28"/>
              </w:rPr>
              <w:t>、</w:t>
            </w:r>
            <w:r>
              <w:rPr>
                <w:rFonts w:hint="eastAsia" w:ascii="仿宋_GB2312" w:eastAsia="仿宋_GB2312"/>
                <w:color w:val="auto"/>
                <w:sz w:val="30"/>
                <w:szCs w:val="30"/>
              </w:rPr>
              <w:t>食品生产安全监督管理科、食品经营安全监督管理科、特殊食品和化妆品安全监督管理科、餐饮食品安全监督管理科、抽检监测管理科、药品生产指导协调科、药品流通监督管理科、医疗器械监督管理科、特种设备安全监察科、计量科、标准化科、认证认可监督管理科、知识产权运用促进科、知识产权保护科、消费者权益保护科、财务和审计科、人事科、</w:t>
            </w:r>
          </w:p>
          <w:p>
            <w:pPr>
              <w:pStyle w:val="6"/>
              <w:spacing w:before="0" w:beforeAutospacing="0" w:after="0" w:afterAutospacing="0"/>
              <w:rPr>
                <w:rFonts w:ascii="仿宋_GB2312" w:eastAsia="仿宋_GB2312"/>
                <w:color w:val="auto"/>
                <w:sz w:val="30"/>
                <w:szCs w:val="30"/>
              </w:rPr>
            </w:pPr>
            <w:r>
              <w:rPr>
                <w:rFonts w:hint="eastAsia" w:ascii="仿宋_GB2312" w:eastAsia="仿宋_GB2312"/>
                <w:color w:val="auto"/>
                <w:sz w:val="30"/>
                <w:szCs w:val="30"/>
              </w:rPr>
              <w:t>机关党委（纪委）、离退休人员管理服务科。</w:t>
            </w:r>
          </w:p>
          <w:p>
            <w:pPr>
              <w:pStyle w:val="6"/>
              <w:spacing w:before="0" w:beforeAutospacing="0" w:after="0" w:afterAutospacing="0"/>
              <w:ind w:firstLine="57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副处级综合行政执法支队是岳阳市市场监管综合行政执法支队。</w:t>
            </w:r>
          </w:p>
          <w:p>
            <w:pPr>
              <w:pStyle w:val="6"/>
              <w:spacing w:before="0" w:beforeAutospacing="0" w:after="0" w:afterAutospacing="0"/>
              <w:ind w:firstLine="57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直属事业单位为岳阳市质量计量检验检测中心，岳阳市食品药品审评认证与不良反应监测中心，岳阳市市场监督管理局机关事务管理中心，岳阳市个体私营经济发展中心，岳阳市消费者维权服务中心。</w:t>
            </w:r>
          </w:p>
          <w:p>
            <w:pPr>
              <w:pStyle w:val="6"/>
              <w:spacing w:before="0" w:beforeAutospacing="0" w:after="0" w:afterAutospacing="0"/>
              <w:ind w:firstLine="573"/>
              <w:rPr>
                <w:rFonts w:ascii="Arial" w:hAnsi="Arial" w:cs="Arial"/>
                <w:color w:val="auto"/>
                <w:sz w:val="28"/>
              </w:rPr>
            </w:pPr>
            <w:r>
              <w:rPr>
                <w:rFonts w:hint="eastAsia" w:ascii="仿宋_GB2312" w:hAnsi="仿宋_GB2312" w:eastAsia="仿宋_GB2312" w:cs="仿宋_GB2312"/>
                <w:color w:val="auto"/>
                <w:sz w:val="28"/>
                <w:szCs w:val="28"/>
              </w:rPr>
              <w:t>直属分局分别是岳阳市市场监督管理局经济技术开发区分局、岳阳市市场监督管理局南湖新区分局、岳阳市市场监督管理局城陵矶新港区分局。</w:t>
            </w:r>
          </w:p>
          <w:p>
            <w:pPr>
              <w:pStyle w:val="6"/>
              <w:spacing w:before="0" w:beforeAutospacing="0" w:after="0" w:afterAutospacing="0"/>
              <w:ind w:firstLine="570"/>
              <w:rPr>
                <w:rFonts w:ascii="Arial" w:hAnsi="Arial" w:cs="Arial"/>
                <w:b/>
                <w:bCs/>
                <w:color w:val="auto"/>
                <w:sz w:val="28"/>
              </w:rPr>
            </w:pPr>
            <w:r>
              <w:rPr>
                <w:rFonts w:ascii="Arial" w:hAnsi="Arial" w:cs="Arial"/>
                <w:b/>
                <w:bCs/>
                <w:color w:val="auto"/>
                <w:sz w:val="28"/>
              </w:rPr>
              <w:t>2</w:t>
            </w:r>
            <w:r>
              <w:rPr>
                <w:rFonts w:hint="eastAsia" w:ascii="Arial" w:hAnsi="Arial" w:cs="Arial"/>
                <w:b/>
                <w:bCs/>
                <w:color w:val="auto"/>
                <w:sz w:val="28"/>
              </w:rPr>
              <w:t>、人员情况</w:t>
            </w:r>
          </w:p>
          <w:p>
            <w:pPr>
              <w:pStyle w:val="6"/>
              <w:spacing w:before="0" w:beforeAutospacing="0" w:after="0" w:afterAutospacing="0"/>
              <w:ind w:firstLine="57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2020</w:t>
            </w:r>
            <w:r>
              <w:rPr>
                <w:rFonts w:hint="eastAsia" w:ascii="仿宋_GB2312" w:hAnsi="仿宋_GB2312" w:eastAsia="仿宋_GB2312" w:cs="仿宋_GB2312"/>
                <w:color w:val="auto"/>
                <w:sz w:val="28"/>
                <w:szCs w:val="28"/>
              </w:rPr>
              <w:t>年末编制人数</w:t>
            </w:r>
            <w:r>
              <w:rPr>
                <w:rFonts w:ascii="仿宋_GB2312" w:hAnsi="仿宋_GB2312" w:eastAsia="仿宋_GB2312" w:cs="仿宋_GB2312"/>
                <w:color w:val="auto"/>
                <w:sz w:val="28"/>
                <w:szCs w:val="28"/>
              </w:rPr>
              <w:t>539</w:t>
            </w:r>
            <w:r>
              <w:rPr>
                <w:rFonts w:hint="eastAsia" w:ascii="仿宋_GB2312" w:hAnsi="仿宋_GB2312" w:eastAsia="仿宋_GB2312" w:cs="仿宋_GB2312"/>
                <w:color w:val="auto"/>
                <w:sz w:val="28"/>
                <w:szCs w:val="28"/>
              </w:rPr>
              <w:t>人，其中行政编制</w:t>
            </w:r>
            <w:r>
              <w:rPr>
                <w:rFonts w:ascii="仿宋_GB2312" w:hAnsi="仿宋_GB2312" w:eastAsia="仿宋_GB2312" w:cs="仿宋_GB2312"/>
                <w:color w:val="auto"/>
                <w:sz w:val="28"/>
                <w:szCs w:val="28"/>
              </w:rPr>
              <w:t>218</w:t>
            </w:r>
            <w:r>
              <w:rPr>
                <w:rFonts w:hint="eastAsia" w:ascii="仿宋_GB2312" w:hAnsi="仿宋_GB2312" w:eastAsia="仿宋_GB2312" w:cs="仿宋_GB2312"/>
                <w:color w:val="auto"/>
                <w:sz w:val="28"/>
                <w:szCs w:val="28"/>
              </w:rPr>
              <w:t>人，综合执法编制</w:t>
            </w:r>
            <w:r>
              <w:rPr>
                <w:rFonts w:ascii="仿宋_GB2312" w:hAnsi="仿宋_GB2312" w:eastAsia="仿宋_GB2312" w:cs="仿宋_GB2312"/>
                <w:color w:val="auto"/>
                <w:sz w:val="28"/>
                <w:szCs w:val="28"/>
              </w:rPr>
              <w:t>125</w:t>
            </w:r>
            <w:r>
              <w:rPr>
                <w:rFonts w:hint="eastAsia" w:ascii="仿宋_GB2312" w:hAnsi="仿宋_GB2312" w:eastAsia="仿宋_GB2312" w:cs="仿宋_GB2312"/>
                <w:color w:val="auto"/>
                <w:sz w:val="28"/>
                <w:szCs w:val="28"/>
              </w:rPr>
              <w:t>人，工勤编制</w:t>
            </w:r>
            <w:r>
              <w:rPr>
                <w:rFonts w:ascii="仿宋_GB2312" w:hAnsi="仿宋_GB2312" w:eastAsia="仿宋_GB2312" w:cs="仿宋_GB2312"/>
                <w:color w:val="auto"/>
                <w:sz w:val="28"/>
                <w:szCs w:val="28"/>
              </w:rPr>
              <w:t>13</w:t>
            </w:r>
            <w:r>
              <w:rPr>
                <w:rFonts w:hint="eastAsia" w:ascii="仿宋_GB2312" w:hAnsi="仿宋_GB2312" w:eastAsia="仿宋_GB2312" w:cs="仿宋_GB2312"/>
                <w:color w:val="auto"/>
                <w:sz w:val="28"/>
                <w:szCs w:val="28"/>
              </w:rPr>
              <w:t>人，参公编制</w:t>
            </w:r>
            <w:r>
              <w:rPr>
                <w:rFonts w:ascii="仿宋_GB2312" w:hAnsi="仿宋_GB2312" w:eastAsia="仿宋_GB2312" w:cs="仿宋_GB2312"/>
                <w:color w:val="auto"/>
                <w:sz w:val="28"/>
                <w:szCs w:val="28"/>
              </w:rPr>
              <w:t>14</w:t>
            </w:r>
            <w:r>
              <w:rPr>
                <w:rFonts w:hint="eastAsia" w:ascii="仿宋_GB2312" w:hAnsi="仿宋_GB2312" w:eastAsia="仿宋_GB2312" w:cs="仿宋_GB2312"/>
                <w:color w:val="auto"/>
                <w:sz w:val="28"/>
                <w:szCs w:val="28"/>
              </w:rPr>
              <w:t>人，全额拨款事业编制</w:t>
            </w:r>
            <w:r>
              <w:rPr>
                <w:rFonts w:ascii="仿宋_GB2312" w:hAnsi="仿宋_GB2312" w:eastAsia="仿宋_GB2312" w:cs="仿宋_GB2312"/>
                <w:color w:val="auto"/>
                <w:sz w:val="28"/>
                <w:szCs w:val="28"/>
              </w:rPr>
              <w:t>147</w:t>
            </w:r>
            <w:r>
              <w:rPr>
                <w:rFonts w:hint="eastAsia" w:ascii="仿宋_GB2312" w:hAnsi="仿宋_GB2312" w:eastAsia="仿宋_GB2312" w:cs="仿宋_GB2312"/>
                <w:color w:val="auto"/>
                <w:sz w:val="28"/>
                <w:szCs w:val="28"/>
              </w:rPr>
              <w:t>人，差额编制</w:t>
            </w:r>
            <w:r>
              <w:rPr>
                <w:rFonts w:ascii="仿宋_GB2312" w:hAnsi="仿宋_GB2312" w:eastAsia="仿宋_GB2312" w:cs="仿宋_GB2312"/>
                <w:color w:val="auto"/>
                <w:sz w:val="28"/>
                <w:szCs w:val="28"/>
              </w:rPr>
              <w:t>22</w:t>
            </w:r>
            <w:r>
              <w:rPr>
                <w:rFonts w:hint="eastAsia" w:ascii="仿宋_GB2312" w:hAnsi="仿宋_GB2312" w:eastAsia="仿宋_GB2312" w:cs="仿宋_GB2312"/>
                <w:color w:val="auto"/>
                <w:sz w:val="28"/>
                <w:szCs w:val="28"/>
              </w:rPr>
              <w:t>人。编制内实有在职人数</w:t>
            </w:r>
            <w:r>
              <w:rPr>
                <w:rFonts w:ascii="仿宋_GB2312" w:hAnsi="仿宋_GB2312" w:eastAsia="仿宋_GB2312" w:cs="仿宋_GB2312"/>
                <w:color w:val="auto"/>
                <w:sz w:val="28"/>
                <w:szCs w:val="28"/>
              </w:rPr>
              <w:t>565</w:t>
            </w:r>
            <w:r>
              <w:rPr>
                <w:rFonts w:hint="eastAsia" w:ascii="仿宋_GB2312" w:hAnsi="仿宋_GB2312" w:eastAsia="仿宋_GB2312" w:cs="仿宋_GB2312"/>
                <w:color w:val="auto"/>
                <w:sz w:val="28"/>
                <w:szCs w:val="28"/>
              </w:rPr>
              <w:t>人，人员编制及实有在职人数减少，主要是因机构改革导致原岳阳楼区分局下划至区政府管理，但该单位</w:t>
            </w:r>
            <w:r>
              <w:rPr>
                <w:rFonts w:ascii="仿宋_GB2312" w:hAnsi="仿宋_GB2312" w:eastAsia="仿宋_GB2312" w:cs="仿宋_GB2312"/>
                <w:color w:val="auto"/>
                <w:sz w:val="28"/>
                <w:szCs w:val="28"/>
              </w:rPr>
              <w:t>2020</w:t>
            </w:r>
            <w:r>
              <w:rPr>
                <w:rFonts w:hint="eastAsia" w:ascii="仿宋_GB2312" w:hAnsi="仿宋_GB2312" w:eastAsia="仿宋_GB2312" w:cs="仿宋_GB2312"/>
                <w:color w:val="auto"/>
                <w:sz w:val="28"/>
                <w:szCs w:val="28"/>
              </w:rPr>
              <w:t>年预算执行仍留在市级财政管理体制内。</w:t>
            </w:r>
          </w:p>
          <w:p>
            <w:pPr>
              <w:pStyle w:val="6"/>
              <w:spacing w:before="0" w:beforeAutospacing="0" w:after="0" w:afterAutospacing="0"/>
              <w:ind w:firstLine="570"/>
              <w:rPr>
                <w:rFonts w:ascii="Arial" w:hAnsi="Arial" w:cs="Arial"/>
                <w:b/>
                <w:bCs/>
                <w:color w:val="auto"/>
                <w:sz w:val="28"/>
              </w:rPr>
            </w:pPr>
            <w:r>
              <w:rPr>
                <w:rFonts w:ascii="Arial" w:hAnsi="Arial" w:cs="Arial"/>
                <w:b/>
                <w:bCs/>
                <w:color w:val="auto"/>
                <w:sz w:val="28"/>
              </w:rPr>
              <w:t>3</w:t>
            </w:r>
            <w:r>
              <w:rPr>
                <w:rFonts w:hint="eastAsia" w:ascii="Arial" w:hAnsi="Arial" w:cs="Arial"/>
                <w:b/>
                <w:bCs/>
                <w:color w:val="auto"/>
                <w:sz w:val="28"/>
              </w:rPr>
              <w:t>、职能职责</w:t>
            </w:r>
            <w:r>
              <w:rPr>
                <w:rFonts w:ascii="Arial" w:hAnsi="Arial" w:cs="Arial"/>
                <w:b/>
                <w:bCs/>
                <w:color w:val="auto"/>
                <w:sz w:val="28"/>
              </w:rPr>
              <w:t> </w:t>
            </w:r>
          </w:p>
          <w:p>
            <w:pPr>
              <w:pStyle w:val="16"/>
              <w:spacing w:line="360" w:lineRule="auto"/>
              <w:ind w:firstLine="540"/>
              <w:rPr>
                <w:rFonts w:ascii="仿宋_GB2312" w:eastAsia="仿宋_GB2312"/>
                <w:color w:val="auto"/>
                <w:sz w:val="28"/>
                <w:szCs w:val="28"/>
              </w:rPr>
            </w:pPr>
            <w:r>
              <w:rPr>
                <w:rFonts w:hint="eastAsia" w:ascii="仿宋_GB2312" w:eastAsia="仿宋_GB2312"/>
                <w:color w:val="auto"/>
                <w:sz w:val="28"/>
                <w:szCs w:val="28"/>
              </w:rPr>
              <w:t>（一）负责市场综合监督管理。贯彻执行国家市场监督管理的方针、政策和法律法规规章，组织实施质量强市、食品安全、标准化和知识产权等战略，拟订并组织实施有关规划，规范和维护市场秩序，营造诚实守信、公平竞争的市场环境。</w:t>
            </w:r>
          </w:p>
          <w:p>
            <w:pPr>
              <w:pStyle w:val="16"/>
              <w:spacing w:after="140" w:line="360" w:lineRule="auto"/>
              <w:ind w:firstLine="540"/>
              <w:rPr>
                <w:rFonts w:ascii="仿宋_GB2312" w:eastAsia="仿宋_GB2312"/>
                <w:color w:val="auto"/>
                <w:sz w:val="28"/>
                <w:szCs w:val="28"/>
              </w:rPr>
            </w:pPr>
            <w:r>
              <w:rPr>
                <w:rFonts w:hint="eastAsia" w:ascii="仿宋_GB2312" w:eastAsia="仿宋_GB2312"/>
                <w:color w:val="auto"/>
                <w:sz w:val="28"/>
                <w:szCs w:val="28"/>
              </w:rPr>
              <w:t>（二）负责市场主体统一登记注册工作。负责全市各类企业、农民专业合作社和从事经营活动的单位、个体工商户以及外国（地区）企业、常驻代表机构等市场主体的登记注册工作。建立市场主体信息公示和共享机制，依法公示和共享有关信息，加强信用监管，推动市场主体信用体系建设。</w:t>
            </w:r>
          </w:p>
          <w:p>
            <w:pPr>
              <w:pStyle w:val="16"/>
              <w:spacing w:after="100" w:line="360" w:lineRule="auto"/>
              <w:ind w:firstLine="540"/>
              <w:rPr>
                <w:rFonts w:ascii="仿宋_GB2312" w:eastAsia="仿宋_GB2312"/>
                <w:color w:val="auto"/>
                <w:sz w:val="28"/>
                <w:szCs w:val="28"/>
              </w:rPr>
            </w:pPr>
            <w:r>
              <w:rPr>
                <w:rFonts w:hint="eastAsia" w:ascii="仿宋_GB2312" w:eastAsia="仿宋_GB2312"/>
                <w:color w:val="auto"/>
                <w:sz w:val="28"/>
                <w:szCs w:val="28"/>
              </w:rPr>
              <w:t>（三）负责组织指导市场监管综合执法工作。指导县市区市场监管综合执法队伍整合和建设，推动实行统一的市场监管。组织指导或直接查处违法案件，规范市场监管行政执法行为。</w:t>
            </w:r>
          </w:p>
          <w:p>
            <w:pPr>
              <w:pStyle w:val="16"/>
              <w:spacing w:line="360" w:lineRule="auto"/>
              <w:ind w:firstLine="520"/>
              <w:rPr>
                <w:rFonts w:ascii="仿宋_GB2312" w:eastAsia="仿宋_GB2312"/>
                <w:color w:val="auto"/>
                <w:sz w:val="28"/>
                <w:szCs w:val="28"/>
              </w:rPr>
            </w:pPr>
            <w:r>
              <w:rPr>
                <w:rFonts w:hint="eastAsia" w:ascii="仿宋_GB2312" w:eastAsia="仿宋_GB2312"/>
                <w:color w:val="auto"/>
                <w:sz w:val="28"/>
                <w:szCs w:val="28"/>
              </w:rPr>
              <w:t>（四）依委托开展反垄断统一执法调查工作。统筹推进竞争政策实施，组织实施公平竞争审查制度。依委托协助开展垄断协议、滥用市场支配地位和滥用行政权力排除、限制竞争等反垄断执法调查工作，指导企业在国外的反垄断应诉工作。</w:t>
            </w:r>
          </w:p>
          <w:p>
            <w:pPr>
              <w:pStyle w:val="16"/>
              <w:spacing w:line="360" w:lineRule="auto"/>
              <w:ind w:firstLine="520"/>
              <w:rPr>
                <w:rFonts w:ascii="仿宋_GB2312" w:eastAsia="仿宋_GB2312"/>
                <w:color w:val="auto"/>
                <w:sz w:val="28"/>
                <w:szCs w:val="28"/>
              </w:rPr>
            </w:pPr>
            <w:r>
              <w:rPr>
                <w:rFonts w:hint="eastAsia" w:ascii="仿宋_GB2312" w:eastAsia="仿宋_GB2312"/>
                <w:color w:val="auto"/>
                <w:sz w:val="28"/>
                <w:szCs w:val="28"/>
              </w:rPr>
              <w:t>（五）负责监督管理市场秩序。依法监督管理市场交易、网络商品交易及有关服务的行为。组织指导查处价格收费违法违规、不正当竞争、违法直销、传销、侵犯商标专利知识产权和制售假冒伪劣行为。依法监督处理合同违法行为，依法实施对拍卖行为的监督管理，管理动产抵押物登记。指导广告业的发展，监督管理广告活动。承担依法查处无照生产经营和相关无证生产经营行为。</w:t>
            </w:r>
          </w:p>
          <w:p>
            <w:pPr>
              <w:pStyle w:val="16"/>
              <w:spacing w:line="360" w:lineRule="auto"/>
              <w:ind w:firstLine="520"/>
              <w:rPr>
                <w:rFonts w:ascii="仿宋_GB2312" w:eastAsia="仿宋_GB2312"/>
                <w:color w:val="auto"/>
                <w:sz w:val="28"/>
                <w:szCs w:val="28"/>
              </w:rPr>
            </w:pPr>
            <w:r>
              <w:rPr>
                <w:rFonts w:hint="eastAsia" w:ascii="仿宋_GB2312" w:eastAsia="仿宋_GB2312"/>
                <w:color w:val="auto"/>
                <w:sz w:val="28"/>
                <w:szCs w:val="28"/>
              </w:rPr>
              <w:t>（六）负责宏观质量管理。贯彻国家、省质量发展的有关政策，拟订推进质量发展战略的政策措施并组织实施，对全市质量管理工作进行宏观指导。组织实施质量奖励制度，积极推进质量强市战略和品牌建设，推动建立产品质量诚信制度；组织实施产品和服务质量提升、开展服务质量监测；按规定权限组织对重大产品质量事故调查，配合实施缺陷产品召回制度，监督管理产品防伪工作。</w:t>
            </w:r>
          </w:p>
          <w:p>
            <w:pPr>
              <w:pStyle w:val="16"/>
              <w:spacing w:line="360" w:lineRule="auto"/>
              <w:ind w:firstLine="520"/>
              <w:rPr>
                <w:rFonts w:ascii="仿宋_GB2312" w:eastAsia="仿宋_GB2312"/>
                <w:color w:val="auto"/>
                <w:sz w:val="28"/>
                <w:szCs w:val="28"/>
              </w:rPr>
            </w:pPr>
            <w:r>
              <w:rPr>
                <w:rFonts w:hint="eastAsia" w:ascii="仿宋_GB2312" w:eastAsia="仿宋_GB2312"/>
                <w:color w:val="auto"/>
                <w:sz w:val="28"/>
                <w:szCs w:val="28"/>
              </w:rPr>
              <w:t>（七）负责产品质量安全监督管理。负责产品质量安全监督抽查和风险监控工作，组织实施质量分级制度、质量安全追溯制度。负责工业产品生产许可证证后管理。负责纤维质量监督检验工作。</w:t>
            </w:r>
          </w:p>
          <w:p>
            <w:pPr>
              <w:pStyle w:val="16"/>
              <w:spacing w:line="360" w:lineRule="auto"/>
              <w:ind w:firstLine="540"/>
              <w:rPr>
                <w:rFonts w:ascii="仿宋_GB2312" w:eastAsia="仿宋_GB2312"/>
                <w:color w:val="auto"/>
                <w:sz w:val="28"/>
                <w:szCs w:val="28"/>
              </w:rPr>
            </w:pPr>
            <w:r>
              <w:rPr>
                <w:rFonts w:hint="eastAsia" w:ascii="仿宋_GB2312" w:hAnsi="宋体" w:eastAsia="仿宋_GB2312"/>
                <w:color w:val="auto"/>
                <w:sz w:val="28"/>
                <w:szCs w:val="28"/>
              </w:rPr>
              <w:t>（八）</w:t>
            </w:r>
            <w:r>
              <w:rPr>
                <w:rFonts w:hint="eastAsia" w:ascii="仿宋_GB2312" w:eastAsia="仿宋_GB2312"/>
                <w:color w:val="auto"/>
                <w:sz w:val="28"/>
                <w:szCs w:val="28"/>
              </w:rPr>
              <w:t>负责特种设备安全监督管理。综合管理特种设备安全监察、监督工作，监督检查高耗能特种设备节能标准和锅炉生产、进口、销售环节环境保护标准的执行情况。按规定权限组织调查处理特种设备事故并进行统计分析。</w:t>
            </w:r>
          </w:p>
          <w:p>
            <w:pPr>
              <w:pStyle w:val="16"/>
              <w:spacing w:line="360" w:lineRule="auto"/>
              <w:ind w:firstLine="540"/>
              <w:rPr>
                <w:rFonts w:ascii="仿宋_GB2312" w:eastAsia="仿宋_GB2312"/>
                <w:color w:val="auto"/>
                <w:sz w:val="28"/>
                <w:szCs w:val="28"/>
              </w:rPr>
            </w:pPr>
            <w:r>
              <w:rPr>
                <w:rFonts w:hint="eastAsia" w:ascii="仿宋_GB2312" w:eastAsia="仿宋_GB2312"/>
                <w:color w:val="auto"/>
                <w:sz w:val="28"/>
                <w:szCs w:val="28"/>
              </w:rPr>
              <w:t>（九）负责食品安全监督管理综合协调。负责食品安全应急体系建设，组织指导重大食品安全事件应急处置和调查处理工作。落实食品安全重要信息直报制度。承担市食品安全委员会日常工作。</w:t>
            </w:r>
          </w:p>
          <w:p>
            <w:pPr>
              <w:pStyle w:val="16"/>
              <w:spacing w:line="360" w:lineRule="auto"/>
              <w:ind w:firstLine="540"/>
              <w:rPr>
                <w:rFonts w:ascii="仿宋_GB2312" w:eastAsia="仿宋_GB2312"/>
                <w:color w:val="auto"/>
                <w:sz w:val="28"/>
                <w:szCs w:val="28"/>
              </w:rPr>
            </w:pPr>
            <w:r>
              <w:rPr>
                <w:rFonts w:hint="eastAsia" w:ascii="仿宋_GB2312" w:eastAsia="仿宋_GB2312"/>
                <w:color w:val="auto"/>
                <w:sz w:val="28"/>
                <w:szCs w:val="28"/>
              </w:rPr>
              <w:t>（十）负责食品安全监督管理。建立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核查处置和风险预警、风险交流等工作。组织实施特殊食品监督管理。负责食盐专营管理和食盐安全监督管理。</w:t>
            </w:r>
          </w:p>
          <w:p>
            <w:pPr>
              <w:pStyle w:val="16"/>
              <w:spacing w:after="60" w:line="360" w:lineRule="auto"/>
              <w:ind w:firstLine="540"/>
              <w:rPr>
                <w:rFonts w:ascii="仿宋_GB2312" w:eastAsia="仿宋_GB2312"/>
                <w:color w:val="auto"/>
                <w:sz w:val="28"/>
                <w:szCs w:val="28"/>
              </w:rPr>
            </w:pPr>
            <w:r>
              <w:rPr>
                <w:rFonts w:hint="eastAsia" w:ascii="仿宋_GB2312" w:eastAsia="仿宋_GB2312"/>
                <w:color w:val="auto"/>
                <w:sz w:val="28"/>
                <w:szCs w:val="28"/>
              </w:rPr>
              <w:t>（十一）负责统一管理计量工作。推行国家法定计量单位，执行国家计量制度</w:t>
            </w:r>
            <w:r>
              <w:rPr>
                <w:rFonts w:ascii="仿宋_GB2312" w:eastAsia="仿宋_GB2312"/>
                <w:color w:val="auto"/>
                <w:sz w:val="28"/>
                <w:szCs w:val="28"/>
              </w:rPr>
              <w:t>,</w:t>
            </w:r>
            <w:r>
              <w:rPr>
                <w:rFonts w:hint="eastAsia" w:ascii="仿宋_GB2312" w:eastAsia="仿宋_GB2312"/>
                <w:color w:val="auto"/>
                <w:sz w:val="28"/>
                <w:szCs w:val="28"/>
              </w:rPr>
              <w:t>依职权管理计量器具及量值传递和比对工作。规范、监督商品量和市场计量行为。</w:t>
            </w:r>
          </w:p>
          <w:p>
            <w:pPr>
              <w:pStyle w:val="16"/>
              <w:spacing w:line="360" w:lineRule="auto"/>
              <w:ind w:firstLine="540"/>
              <w:rPr>
                <w:rFonts w:ascii="仿宋_GB2312" w:eastAsia="仿宋_GB2312"/>
                <w:color w:val="auto"/>
                <w:sz w:val="28"/>
                <w:szCs w:val="28"/>
              </w:rPr>
            </w:pPr>
            <w:r>
              <w:rPr>
                <w:rFonts w:hint="eastAsia" w:ascii="仿宋_GB2312" w:eastAsia="仿宋_GB2312"/>
                <w:color w:val="auto"/>
                <w:sz w:val="28"/>
                <w:szCs w:val="28"/>
              </w:rPr>
              <w:t>（十二）负责统一管理标准化工作。组织实施标准化法律、法规，推进本行政区域内标准化战略的实施；依法承担地方标准立项、编号和发布等工作，依法协调指导市级地方标准、团体标准制定工作。依法开展标准化试点示范工作；管理全市商品条码工作；依据法定职责，对标准的制定进行指导监督，对标准的实施进行监督检查。推行采用国际标准。</w:t>
            </w:r>
          </w:p>
          <w:p>
            <w:pPr>
              <w:pStyle w:val="16"/>
              <w:spacing w:line="360" w:lineRule="auto"/>
              <w:ind w:firstLine="520"/>
              <w:rPr>
                <w:rFonts w:ascii="仿宋_GB2312" w:eastAsia="仿宋_GB2312"/>
                <w:color w:val="auto"/>
                <w:sz w:val="28"/>
                <w:szCs w:val="28"/>
              </w:rPr>
            </w:pPr>
            <w:r>
              <w:rPr>
                <w:rFonts w:hint="eastAsia" w:ascii="仿宋_GB2312" w:eastAsia="仿宋_GB2312"/>
                <w:color w:val="auto"/>
                <w:sz w:val="28"/>
                <w:szCs w:val="28"/>
              </w:rPr>
              <w:t>（十三）负责统一管理检验检测工作。组织实施检验检测机构资质认定监督管理；协调推进检验检测机构改革；规范检验检测市场，完善检验检测体系，指导协调检验检测行业发展。</w:t>
            </w:r>
          </w:p>
          <w:p>
            <w:pPr>
              <w:pStyle w:val="16"/>
              <w:spacing w:line="360" w:lineRule="auto"/>
              <w:ind w:firstLine="520"/>
              <w:rPr>
                <w:rFonts w:ascii="仿宋_GB2312" w:eastAsia="仿宋_GB2312"/>
                <w:color w:val="auto"/>
                <w:sz w:val="28"/>
                <w:szCs w:val="28"/>
              </w:rPr>
            </w:pPr>
            <w:r>
              <w:rPr>
                <w:rFonts w:hint="eastAsia" w:ascii="仿宋_GB2312" w:eastAsia="仿宋_GB2312"/>
                <w:color w:val="auto"/>
                <w:sz w:val="28"/>
                <w:szCs w:val="28"/>
              </w:rPr>
              <w:t>（十四）负责统一管理、监督和综合协调认证认可工作。依法监督管理全市认证认可和合格评定有关活动。</w:t>
            </w:r>
          </w:p>
          <w:p>
            <w:pPr>
              <w:pStyle w:val="16"/>
              <w:spacing w:line="360" w:lineRule="auto"/>
              <w:ind w:firstLine="520"/>
              <w:rPr>
                <w:rFonts w:ascii="仿宋_GB2312" w:eastAsia="仿宋_GB2312"/>
                <w:color w:val="auto"/>
                <w:sz w:val="28"/>
                <w:szCs w:val="28"/>
              </w:rPr>
            </w:pPr>
            <w:r>
              <w:rPr>
                <w:rFonts w:hint="eastAsia" w:ascii="仿宋_GB2312" w:eastAsia="仿宋_GB2312"/>
                <w:color w:val="auto"/>
                <w:sz w:val="28"/>
                <w:szCs w:val="28"/>
              </w:rPr>
              <w:t>（十五）负责市场监督管理、知识产权领域科技和信息化建设、新闻宣传、对外交流与合作。按规定承担技术性贸易措施有关工作。</w:t>
            </w:r>
          </w:p>
          <w:p>
            <w:pPr>
              <w:pStyle w:val="16"/>
              <w:spacing w:line="360" w:lineRule="auto"/>
              <w:ind w:firstLine="520"/>
              <w:rPr>
                <w:rFonts w:ascii="仿宋_GB2312" w:eastAsia="仿宋_GB2312"/>
                <w:color w:val="auto"/>
                <w:sz w:val="28"/>
                <w:szCs w:val="28"/>
              </w:rPr>
            </w:pPr>
            <w:r>
              <w:rPr>
                <w:rFonts w:hint="eastAsia" w:ascii="仿宋_GB2312" w:eastAsia="仿宋_GB2312"/>
                <w:color w:val="auto"/>
                <w:sz w:val="28"/>
                <w:szCs w:val="28"/>
              </w:rPr>
              <w:t>（十六）负责实施知识产权战略，推进知识产权强市建设。制定知识产权创造、保护、运用的管理措施并组织实施。建设知识产权公共服务体系，推动知识产权信息传播利用，建设知识产权人才队伍。</w:t>
            </w:r>
          </w:p>
          <w:p>
            <w:pPr>
              <w:pStyle w:val="16"/>
              <w:spacing w:line="360" w:lineRule="auto"/>
              <w:ind w:firstLine="520"/>
              <w:rPr>
                <w:rFonts w:ascii="仿宋_GB2312" w:eastAsia="仿宋_GB2312"/>
                <w:color w:val="auto"/>
                <w:sz w:val="28"/>
                <w:szCs w:val="28"/>
              </w:rPr>
            </w:pPr>
            <w:r>
              <w:rPr>
                <w:rFonts w:hint="eastAsia" w:ascii="仿宋_GB2312" w:eastAsia="仿宋_GB2312"/>
                <w:color w:val="auto"/>
                <w:sz w:val="28"/>
                <w:szCs w:val="28"/>
              </w:rPr>
              <w:t>（十七）负责保护知识产权。落实严格保护专利、商标、原产地地理标志等相关工作，建设知识产权保护体系，指导监督商标、专利及原产地地理标志执法。</w:t>
            </w:r>
          </w:p>
          <w:p>
            <w:pPr>
              <w:pStyle w:val="16"/>
              <w:spacing w:line="360" w:lineRule="auto"/>
              <w:ind w:firstLine="520"/>
              <w:rPr>
                <w:rFonts w:ascii="仿宋_GB2312" w:eastAsia="仿宋_GB2312"/>
                <w:color w:val="auto"/>
                <w:sz w:val="28"/>
                <w:szCs w:val="28"/>
              </w:rPr>
            </w:pPr>
            <w:r>
              <w:rPr>
                <w:rFonts w:hint="eastAsia" w:ascii="仿宋_GB2312" w:eastAsia="仿宋_GB2312"/>
                <w:color w:val="auto"/>
                <w:sz w:val="28"/>
                <w:szCs w:val="28"/>
              </w:rPr>
              <w:t>（十八）负责知识产权创造运用。开展知识产权运营体系建设，指导重大经济活动知识产权评议，规范知识产权交易和无形资产评估，促进知识产权转移转化，推动知识产权高质量发展。</w:t>
            </w:r>
          </w:p>
          <w:p>
            <w:pPr>
              <w:pStyle w:val="16"/>
              <w:spacing w:line="360" w:lineRule="auto"/>
              <w:ind w:firstLine="540"/>
              <w:rPr>
                <w:rFonts w:ascii="仿宋_GB2312" w:eastAsia="仿宋_GB2312"/>
                <w:color w:val="auto"/>
                <w:sz w:val="28"/>
                <w:szCs w:val="28"/>
              </w:rPr>
            </w:pPr>
            <w:r>
              <w:rPr>
                <w:rFonts w:hint="eastAsia" w:ascii="仿宋_GB2312" w:eastAsia="仿宋_GB2312"/>
                <w:color w:val="auto"/>
                <w:sz w:val="28"/>
                <w:szCs w:val="28"/>
              </w:rPr>
              <w:t>（十九）负责组织开展有关商品和服务领域消费维权工作，查处假冒伪劣等违法行为，指导消费者咨询、投诉、举报受理、处理和网络体系建设等工作，保护经营者、消费者合法权益。指导消费者权益保护组织开展消费维权工作。</w:t>
            </w:r>
          </w:p>
          <w:p>
            <w:pPr>
              <w:pStyle w:val="16"/>
              <w:spacing w:line="360" w:lineRule="auto"/>
              <w:ind w:firstLine="540"/>
              <w:rPr>
                <w:rFonts w:ascii="仿宋_GB2312" w:eastAsia="仿宋_GB2312"/>
                <w:color w:val="auto"/>
                <w:sz w:val="28"/>
                <w:szCs w:val="28"/>
              </w:rPr>
            </w:pPr>
            <w:r>
              <w:rPr>
                <w:rFonts w:hint="eastAsia" w:ascii="仿宋_GB2312" w:eastAsia="仿宋_GB2312"/>
                <w:color w:val="auto"/>
                <w:sz w:val="28"/>
                <w:szCs w:val="28"/>
              </w:rPr>
              <w:t>（二十）负责药品（含中药、民族药，下同）、医疗器械和化妆品安全监督管理。贯彻执行国家、省关于药品、医疗器械、化妆品安全监督管理的法律、法规和规章，拟订地方性政策规划并组织实施。</w:t>
            </w:r>
          </w:p>
          <w:p>
            <w:pPr>
              <w:pStyle w:val="16"/>
              <w:spacing w:line="360" w:lineRule="auto"/>
              <w:ind w:firstLine="540"/>
              <w:rPr>
                <w:rFonts w:ascii="仿宋_GB2312" w:eastAsia="仿宋_GB2312"/>
                <w:color w:val="auto"/>
                <w:sz w:val="28"/>
                <w:szCs w:val="28"/>
              </w:rPr>
            </w:pPr>
            <w:r>
              <w:rPr>
                <w:rFonts w:hint="eastAsia" w:ascii="仿宋_GB2312" w:eastAsia="仿宋_GB2312"/>
                <w:color w:val="auto"/>
                <w:sz w:val="28"/>
                <w:szCs w:val="28"/>
              </w:rPr>
              <w:t>（二十一）监督实施药品、医疗器械、化妆品标准和分类管理制度，配合有关部门实施国家基本药物制度。</w:t>
            </w:r>
          </w:p>
          <w:p>
            <w:pPr>
              <w:pStyle w:val="16"/>
              <w:spacing w:line="360" w:lineRule="auto"/>
              <w:ind w:firstLine="540"/>
              <w:rPr>
                <w:rFonts w:ascii="仿宋_GB2312" w:eastAsia="仿宋_GB2312"/>
                <w:color w:val="auto"/>
                <w:sz w:val="28"/>
                <w:szCs w:val="28"/>
              </w:rPr>
            </w:pPr>
            <w:r>
              <w:rPr>
                <w:rFonts w:hint="eastAsia" w:ascii="仿宋_GB2312" w:eastAsia="仿宋_GB2312"/>
                <w:color w:val="auto"/>
                <w:sz w:val="28"/>
                <w:szCs w:val="28"/>
              </w:rPr>
              <w:t>（二十二）负责权限范围内药品、医疗器械和化妆品质量管理。监督实施药品、医疗器械经营质量管理规范，监督实施化妆品经营、使用卫生标准和技术规范。</w:t>
            </w:r>
          </w:p>
          <w:p>
            <w:pPr>
              <w:pStyle w:val="16"/>
              <w:spacing w:line="360" w:lineRule="auto"/>
              <w:ind w:firstLine="540"/>
              <w:rPr>
                <w:rFonts w:ascii="仿宋_GB2312" w:eastAsia="仿宋_GB2312"/>
                <w:color w:val="auto"/>
                <w:sz w:val="28"/>
                <w:szCs w:val="28"/>
              </w:rPr>
            </w:pPr>
            <w:r>
              <w:rPr>
                <w:rFonts w:hint="eastAsia" w:ascii="仿宋_GB2312" w:eastAsia="仿宋_GB2312"/>
                <w:color w:val="auto"/>
                <w:sz w:val="28"/>
                <w:szCs w:val="28"/>
              </w:rPr>
              <w:t>（二十三）负责权限范围内药品、医疗器械和化妆品上市后风险管理。组织开展药品不良反应、医疗器械不良事件和化妆品不良反应的监测、评价和处置工作。依法承担药品、医疗器械和化妆品安全应急管理工作。</w:t>
            </w:r>
          </w:p>
          <w:p>
            <w:pPr>
              <w:pStyle w:val="16"/>
              <w:spacing w:line="360" w:lineRule="auto"/>
              <w:ind w:firstLine="540"/>
              <w:rPr>
                <w:rFonts w:ascii="仿宋_GB2312" w:eastAsia="仿宋_GB2312"/>
                <w:color w:val="auto"/>
                <w:sz w:val="28"/>
                <w:szCs w:val="28"/>
              </w:rPr>
            </w:pPr>
            <w:r>
              <w:rPr>
                <w:rFonts w:hint="eastAsia" w:ascii="仿宋_GB2312" w:eastAsia="仿宋_GB2312"/>
                <w:color w:val="auto"/>
                <w:sz w:val="28"/>
                <w:szCs w:val="28"/>
              </w:rPr>
              <w:t>（二十四）负责组织实施药品、医疗器械和化妆品监督检查。制定检查制度，依法查处药品、医疗器械和化妆品经营、使用环节违法行为，监督实施问题产品召回和处置制度，依职责组织指导查处其他环节的违法行为。</w:t>
            </w:r>
          </w:p>
          <w:p>
            <w:pPr>
              <w:pStyle w:val="16"/>
              <w:spacing w:line="360" w:lineRule="auto"/>
              <w:ind w:firstLine="520"/>
              <w:rPr>
                <w:rFonts w:ascii="仿宋_GB2312" w:eastAsia="仿宋_GB2312"/>
                <w:color w:val="auto"/>
                <w:sz w:val="28"/>
                <w:szCs w:val="28"/>
              </w:rPr>
            </w:pPr>
            <w:r>
              <w:rPr>
                <w:rFonts w:hint="eastAsia" w:ascii="仿宋_GB2312" w:eastAsia="仿宋_GB2312"/>
                <w:color w:val="auto"/>
                <w:sz w:val="28"/>
                <w:szCs w:val="28"/>
              </w:rPr>
              <w:t>（二十五）负责指导市县市场监督管理部门承担的药品、医疗器械、化妆品有关监督管理工作。</w:t>
            </w:r>
          </w:p>
          <w:p>
            <w:pPr>
              <w:pStyle w:val="16"/>
              <w:spacing w:line="360" w:lineRule="auto"/>
              <w:ind w:firstLine="520"/>
              <w:rPr>
                <w:rFonts w:ascii="仿宋_GB2312" w:eastAsia="仿宋_GB2312"/>
                <w:color w:val="auto"/>
                <w:sz w:val="28"/>
                <w:szCs w:val="28"/>
              </w:rPr>
            </w:pPr>
            <w:r>
              <w:rPr>
                <w:rFonts w:hint="eastAsia" w:ascii="仿宋_GB2312" w:eastAsia="仿宋_GB2312"/>
                <w:color w:val="auto"/>
                <w:sz w:val="28"/>
                <w:szCs w:val="28"/>
              </w:rPr>
              <w:t>（二十六）按规定要求，承担对口事业服务机构业务工作的指导、协调和监督职责。</w:t>
            </w:r>
          </w:p>
          <w:p>
            <w:pPr>
              <w:pStyle w:val="16"/>
              <w:spacing w:line="360" w:lineRule="auto"/>
              <w:ind w:firstLine="520"/>
              <w:rPr>
                <w:rFonts w:ascii="仿宋_GB2312" w:eastAsia="仿宋_GB2312"/>
                <w:color w:val="auto"/>
                <w:sz w:val="28"/>
                <w:szCs w:val="28"/>
              </w:rPr>
            </w:pPr>
            <w:r>
              <w:rPr>
                <w:rFonts w:hint="eastAsia" w:ascii="仿宋_GB2312" w:eastAsia="仿宋_GB2312"/>
                <w:color w:val="auto"/>
                <w:sz w:val="28"/>
                <w:szCs w:val="28"/>
              </w:rPr>
              <w:t>（二十七）完成市委、市政府交办的其他任务。</w:t>
            </w:r>
          </w:p>
          <w:p>
            <w:pPr>
              <w:spacing w:line="560" w:lineRule="exact"/>
              <w:ind w:firstLine="562" w:firstLineChars="200"/>
              <w:rPr>
                <w:rFonts w:ascii="宋体" w:cs="宋体"/>
                <w:b/>
                <w:color w:val="auto"/>
                <w:sz w:val="28"/>
                <w:szCs w:val="28"/>
              </w:rPr>
            </w:pPr>
            <w:r>
              <w:rPr>
                <w:rFonts w:ascii="宋体" w:hAnsi="宋体" w:cs="宋体"/>
                <w:b/>
                <w:color w:val="auto"/>
                <w:sz w:val="28"/>
                <w:szCs w:val="28"/>
              </w:rPr>
              <w:t>4</w:t>
            </w:r>
            <w:r>
              <w:rPr>
                <w:rFonts w:hint="eastAsia" w:ascii="宋体" w:hAnsi="宋体" w:cs="宋体"/>
                <w:b/>
                <w:color w:val="auto"/>
                <w:sz w:val="28"/>
                <w:szCs w:val="28"/>
              </w:rPr>
              <w:t>、部门整体支出管理状况</w:t>
            </w:r>
          </w:p>
          <w:p>
            <w:pPr>
              <w:widowControl/>
              <w:spacing w:line="480" w:lineRule="auto"/>
              <w:ind w:firstLine="560" w:firstLineChars="200"/>
              <w:rPr>
                <w:rFonts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2020</w:t>
            </w:r>
            <w:r>
              <w:rPr>
                <w:rFonts w:hint="eastAsia" w:ascii="仿宋_GB2312" w:hAnsi="仿宋_GB2312" w:eastAsia="仿宋_GB2312" w:cs="仿宋_GB2312"/>
                <w:color w:val="auto"/>
                <w:kern w:val="0"/>
                <w:sz w:val="28"/>
                <w:szCs w:val="28"/>
              </w:rPr>
              <w:t>年，我局为加强部门整体支出管理，提高资金使用效益，除日常的管理工作之外，我局在部门整体支出管理方面开展了如下工作：</w:t>
            </w:r>
          </w:p>
          <w:p>
            <w:pPr>
              <w:widowControl/>
              <w:spacing w:line="480" w:lineRule="auto"/>
              <w:ind w:firstLine="560" w:firstLineChars="200"/>
              <w:rPr>
                <w:rFonts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1</w:t>
            </w:r>
            <w:r>
              <w:rPr>
                <w:rFonts w:hint="eastAsia" w:ascii="仿宋_GB2312" w:hAnsi="仿宋_GB2312" w:eastAsia="仿宋_GB2312" w:cs="仿宋_GB2312"/>
                <w:color w:val="auto"/>
                <w:kern w:val="0"/>
                <w:sz w:val="28"/>
                <w:szCs w:val="28"/>
              </w:rPr>
              <w:t>、重视预算支出绩效评估工作，成立了以局领导和法制科及相关科室负责人组成的预算支出绩效评估领导小组，强化了各科室的预算管理意识。</w:t>
            </w:r>
          </w:p>
          <w:p>
            <w:pPr>
              <w:widowControl/>
              <w:spacing w:line="480" w:lineRule="auto"/>
              <w:ind w:firstLine="560" w:firstLineChars="200"/>
              <w:rPr>
                <w:rFonts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2</w:t>
            </w:r>
            <w:r>
              <w:rPr>
                <w:rFonts w:hint="eastAsia" w:ascii="仿宋_GB2312" w:hAnsi="仿宋_GB2312" w:eastAsia="仿宋_GB2312" w:cs="仿宋_GB2312"/>
                <w:color w:val="auto"/>
                <w:kern w:val="0"/>
                <w:sz w:val="28"/>
                <w:szCs w:val="28"/>
              </w:rPr>
              <w:t>、重视财政预算资金管理方面制度的学习，不断提高各科室的专项资金管理能力。</w:t>
            </w:r>
          </w:p>
          <w:p>
            <w:pPr>
              <w:widowControl/>
              <w:spacing w:line="480" w:lineRule="auto"/>
              <w:ind w:firstLine="560" w:firstLineChars="200"/>
              <w:rPr>
                <w:rFonts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3</w:t>
            </w:r>
            <w:r>
              <w:rPr>
                <w:rFonts w:hint="eastAsia" w:ascii="仿宋_GB2312" w:hAnsi="仿宋_GB2312" w:eastAsia="仿宋_GB2312" w:cs="仿宋_GB2312"/>
                <w:color w:val="auto"/>
                <w:kern w:val="0"/>
                <w:sz w:val="28"/>
                <w:szCs w:val="28"/>
              </w:rPr>
              <w:t>、建立了财务管理制度，并不断进行完善和修订。</w:t>
            </w:r>
          </w:p>
          <w:p>
            <w:pPr>
              <w:widowControl/>
              <w:spacing w:line="480" w:lineRule="auto"/>
              <w:ind w:firstLine="560" w:firstLineChars="200"/>
              <w:rPr>
                <w:rFonts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4</w:t>
            </w:r>
            <w:r>
              <w:rPr>
                <w:rFonts w:hint="eastAsia" w:ascii="仿宋_GB2312" w:hAnsi="仿宋_GB2312" w:eastAsia="仿宋_GB2312" w:cs="仿宋_GB2312"/>
                <w:color w:val="auto"/>
                <w:kern w:val="0"/>
                <w:sz w:val="28"/>
                <w:szCs w:val="28"/>
              </w:rPr>
              <w:t>、严格制度的执行，特别是“三公”经费的管理。通过加强对公务用车、招待费的严格控制，“三公”经费较好的控制在预算范围之内。</w:t>
            </w:r>
          </w:p>
          <w:p>
            <w:pPr>
              <w:spacing w:line="56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（二）部门（单位）整体支出规模、使用方向和主要内容、涉及范围等</w:t>
            </w:r>
          </w:p>
          <w:p>
            <w:pPr>
              <w:spacing w:line="560" w:lineRule="exact"/>
              <w:ind w:firstLine="560" w:firstLineChars="200"/>
              <w:rPr>
                <w:rFonts w:ascii="黑体" w:hAnsi="黑体" w:eastAsia="黑体" w:cs="黑体"/>
                <w:b/>
                <w:color w:val="auto"/>
                <w:sz w:val="28"/>
                <w:szCs w:val="28"/>
              </w:rPr>
            </w:pPr>
            <w:r>
              <w:rPr>
                <w:rFonts w:ascii="黑体" w:hAnsi="黑体" w:eastAsia="黑体" w:cs="黑体"/>
                <w:bCs/>
                <w:color w:val="auto"/>
                <w:sz w:val="28"/>
                <w:szCs w:val="28"/>
              </w:rPr>
              <w:t>1</w:t>
            </w:r>
            <w:r>
              <w:rPr>
                <w:rFonts w:hint="eastAsia" w:ascii="黑体" w:hAnsi="黑体" w:eastAsia="黑体" w:cs="黑体"/>
                <w:bCs/>
                <w:color w:val="auto"/>
                <w:sz w:val="28"/>
                <w:szCs w:val="28"/>
              </w:rPr>
              <w:t>、年度部门预算收支情况及</w:t>
            </w:r>
            <w:r>
              <w:rPr>
                <w:rFonts w:hint="eastAsia" w:ascii="宋体" w:hAnsi="宋体" w:cs="宋体"/>
                <w:b/>
                <w:color w:val="auto"/>
                <w:sz w:val="28"/>
                <w:szCs w:val="28"/>
              </w:rPr>
              <w:t>使用方向和主要内容、涉及范围</w:t>
            </w:r>
          </w:p>
          <w:p>
            <w:pPr>
              <w:spacing w:line="56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根据财政部门的预算批复，我局年度部门收支预算情况如下：</w:t>
            </w:r>
          </w:p>
          <w:p>
            <w:pPr>
              <w:widowControl/>
              <w:spacing w:line="480" w:lineRule="auto"/>
              <w:rPr>
                <w:rFonts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         </w:t>
            </w:r>
            <w:r>
              <w:rPr>
                <w:rFonts w:hint="eastAsia" w:ascii="仿宋_GB2312" w:hAnsi="仿宋_GB2312" w:eastAsia="仿宋_GB2312" w:cs="仿宋_GB2312"/>
                <w:color w:val="auto"/>
                <w:kern w:val="0"/>
                <w:sz w:val="28"/>
                <w:szCs w:val="28"/>
              </w:rPr>
              <w:t>单位：万元</w:t>
            </w:r>
          </w:p>
          <w:tbl>
            <w:tblPr>
              <w:tblStyle w:val="7"/>
              <w:tblW w:w="9441" w:type="dxa"/>
              <w:tblInd w:w="1"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
            <w:tblGrid>
              <w:gridCol w:w="4536"/>
              <w:gridCol w:w="4905"/>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4536" w:type="dxa"/>
                  <w:tcBorders>
                    <w:top w:val="outset" w:color="000000" w:sz="6" w:space="0"/>
                    <w:left w:val="outset" w:color="000000" w:sz="6" w:space="0"/>
                    <w:bottom w:val="outset" w:color="000000" w:sz="6" w:space="0"/>
                    <w:right w:val="outset" w:color="000000" w:sz="6" w:space="0"/>
                  </w:tcBorders>
                  <w:noWrap/>
                  <w:vAlign w:val="center"/>
                </w:tcPr>
                <w:p>
                  <w:pPr>
                    <w:widowControl/>
                    <w:spacing w:line="480" w:lineRule="auto"/>
                    <w:rPr>
                      <w:rFonts w:ascii="黑体" w:hAnsi="宋体" w:eastAsia="黑体" w:cs="宋体"/>
                      <w:color w:val="auto"/>
                      <w:kern w:val="0"/>
                      <w:sz w:val="28"/>
                      <w:szCs w:val="28"/>
                    </w:rPr>
                  </w:pPr>
                  <w:r>
                    <w:rPr>
                      <w:rFonts w:hint="eastAsia" w:ascii="黑体" w:hAnsi="宋体" w:eastAsia="黑体" w:cs="宋体"/>
                      <w:color w:val="auto"/>
                      <w:kern w:val="0"/>
                      <w:sz w:val="28"/>
                      <w:szCs w:val="28"/>
                    </w:rPr>
                    <w:t>预算项目</w:t>
                  </w:r>
                </w:p>
              </w:tc>
              <w:tc>
                <w:tcPr>
                  <w:tcW w:w="4905" w:type="dxa"/>
                  <w:tcBorders>
                    <w:top w:val="outset" w:color="000000" w:sz="6" w:space="0"/>
                    <w:left w:val="outset" w:color="000000" w:sz="6" w:space="0"/>
                    <w:bottom w:val="outset" w:color="000000" w:sz="6" w:space="0"/>
                    <w:right w:val="outset" w:color="000000" w:sz="6" w:space="0"/>
                  </w:tcBorders>
                  <w:noWrap/>
                  <w:vAlign w:val="center"/>
                </w:tcPr>
                <w:p>
                  <w:pPr>
                    <w:widowControl/>
                    <w:spacing w:line="480" w:lineRule="auto"/>
                    <w:ind w:firstLine="2240" w:firstLineChars="800"/>
                    <w:rPr>
                      <w:rFonts w:ascii="黑体" w:hAnsi="宋体" w:eastAsia="黑体" w:cs="宋体"/>
                      <w:color w:val="auto"/>
                      <w:kern w:val="0"/>
                      <w:sz w:val="28"/>
                      <w:szCs w:val="28"/>
                    </w:rPr>
                  </w:pPr>
                  <w:r>
                    <w:rPr>
                      <w:rFonts w:hint="eastAsia" w:ascii="黑体" w:hAnsi="宋体" w:eastAsia="黑体" w:cs="宋体"/>
                      <w:color w:val="auto"/>
                      <w:kern w:val="0"/>
                      <w:sz w:val="28"/>
                      <w:szCs w:val="28"/>
                    </w:rPr>
                    <w:t>合计</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469" w:hRule="atLeast"/>
              </w:trPr>
              <w:tc>
                <w:tcPr>
                  <w:tcW w:w="4536" w:type="dxa"/>
                  <w:tcBorders>
                    <w:top w:val="outset" w:color="000000" w:sz="6" w:space="0"/>
                    <w:left w:val="outset" w:color="000000" w:sz="6" w:space="0"/>
                    <w:bottom w:val="outset" w:color="000000" w:sz="6" w:space="0"/>
                    <w:right w:val="outset" w:color="000000" w:sz="6" w:space="0"/>
                  </w:tcBorders>
                  <w:noWrap/>
                  <w:vAlign w:val="center"/>
                </w:tcPr>
                <w:p>
                  <w:pPr>
                    <w:widowControl/>
                    <w:jc w:val="left"/>
                    <w:textAlignment w:val="center"/>
                    <w:rPr>
                      <w:rFonts w:ascii="宋体" w:cs="宋体"/>
                      <w:color w:val="auto"/>
                      <w:kern w:val="0"/>
                      <w:sz w:val="24"/>
                      <w:szCs w:val="24"/>
                    </w:rPr>
                  </w:pPr>
                  <w:r>
                    <w:rPr>
                      <w:rFonts w:hint="eastAsia" w:ascii="宋体" w:hAnsi="宋体" w:cs="宋体"/>
                      <w:color w:val="auto"/>
                      <w:kern w:val="0"/>
                      <w:sz w:val="24"/>
                      <w:szCs w:val="24"/>
                    </w:rPr>
                    <w:t>一、本年收入</w:t>
                  </w:r>
                </w:p>
              </w:tc>
              <w:tc>
                <w:tcPr>
                  <w:tcW w:w="4905" w:type="dxa"/>
                  <w:tcBorders>
                    <w:top w:val="outset" w:color="000000" w:sz="6" w:space="0"/>
                    <w:left w:val="outset" w:color="000000" w:sz="6" w:space="0"/>
                    <w:bottom w:val="outset" w:color="000000" w:sz="6" w:space="0"/>
                    <w:right w:val="outset" w:color="000000" w:sz="6" w:space="0"/>
                  </w:tcBorders>
                  <w:noWrap/>
                  <w:vAlign w:val="center"/>
                </w:tcPr>
                <w:p>
                  <w:pPr>
                    <w:widowControl/>
                    <w:jc w:val="center"/>
                    <w:textAlignment w:val="center"/>
                    <w:rPr>
                      <w:rFonts w:ascii="宋体" w:cs="宋体"/>
                      <w:color w:val="auto"/>
                      <w:kern w:val="0"/>
                      <w:sz w:val="24"/>
                      <w:szCs w:val="24"/>
                    </w:rPr>
                  </w:pPr>
                  <w:r>
                    <w:rPr>
                      <w:rFonts w:ascii="宋体" w:hAnsi="宋体" w:cs="宋体"/>
                      <w:color w:val="auto"/>
                      <w:kern w:val="0"/>
                      <w:sz w:val="24"/>
                      <w:szCs w:val="24"/>
                    </w:rPr>
                    <w:t>12247.93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477" w:hRule="atLeast"/>
              </w:trPr>
              <w:tc>
                <w:tcPr>
                  <w:tcW w:w="4536" w:type="dxa"/>
                  <w:tcBorders>
                    <w:top w:val="outset" w:color="000000" w:sz="6" w:space="0"/>
                    <w:left w:val="outset" w:color="000000" w:sz="6" w:space="0"/>
                    <w:bottom w:val="outset" w:color="000000" w:sz="6" w:space="0"/>
                    <w:right w:val="outset" w:color="000000" w:sz="6" w:space="0"/>
                  </w:tcBorders>
                  <w:noWrap/>
                  <w:vAlign w:val="center"/>
                </w:tcPr>
                <w:p>
                  <w:pPr>
                    <w:widowControl/>
                    <w:jc w:val="left"/>
                    <w:textAlignment w:val="center"/>
                    <w:rPr>
                      <w:rFonts w:ascii="宋体" w:cs="宋体"/>
                      <w:color w:val="auto"/>
                      <w:kern w:val="0"/>
                      <w:sz w:val="24"/>
                      <w:szCs w:val="24"/>
                    </w:rPr>
                  </w:pPr>
                  <w:r>
                    <w:rPr>
                      <w:rFonts w:hint="eastAsia" w:ascii="宋体" w:hAnsi="宋体" w:cs="宋体"/>
                      <w:color w:val="auto"/>
                      <w:kern w:val="0"/>
                      <w:sz w:val="24"/>
                      <w:szCs w:val="24"/>
                    </w:rPr>
                    <w:t>经费拨款</w:t>
                  </w:r>
                  <w:r>
                    <w:rPr>
                      <w:rFonts w:ascii="宋体" w:hAnsi="宋体" w:cs="宋体"/>
                      <w:color w:val="auto"/>
                      <w:kern w:val="0"/>
                      <w:sz w:val="24"/>
                      <w:szCs w:val="24"/>
                    </w:rPr>
                    <w:t>(</w:t>
                  </w:r>
                  <w:r>
                    <w:rPr>
                      <w:rFonts w:hint="eastAsia" w:ascii="宋体" w:hAnsi="宋体" w:cs="宋体"/>
                      <w:color w:val="auto"/>
                      <w:kern w:val="0"/>
                      <w:sz w:val="24"/>
                      <w:szCs w:val="24"/>
                    </w:rPr>
                    <w:t>补助</w:t>
                  </w:r>
                  <w:r>
                    <w:rPr>
                      <w:rFonts w:ascii="宋体" w:hAnsi="宋体" w:cs="宋体"/>
                      <w:color w:val="auto"/>
                      <w:kern w:val="0"/>
                      <w:sz w:val="24"/>
                      <w:szCs w:val="24"/>
                    </w:rPr>
                    <w:t>)</w:t>
                  </w:r>
                </w:p>
              </w:tc>
              <w:tc>
                <w:tcPr>
                  <w:tcW w:w="4905" w:type="dxa"/>
                  <w:tcBorders>
                    <w:top w:val="outset" w:color="000000" w:sz="6" w:space="0"/>
                    <w:left w:val="outset" w:color="000000" w:sz="6" w:space="0"/>
                    <w:bottom w:val="outset" w:color="000000" w:sz="6" w:space="0"/>
                    <w:right w:val="outset" w:color="000000" w:sz="6" w:space="0"/>
                  </w:tcBorders>
                  <w:noWrap/>
                  <w:vAlign w:val="center"/>
                </w:tcPr>
                <w:p>
                  <w:pPr>
                    <w:widowControl/>
                    <w:jc w:val="center"/>
                    <w:textAlignment w:val="center"/>
                    <w:rPr>
                      <w:rFonts w:ascii="宋体" w:cs="宋体"/>
                      <w:color w:val="auto"/>
                      <w:kern w:val="0"/>
                      <w:sz w:val="24"/>
                      <w:szCs w:val="24"/>
                    </w:rPr>
                  </w:pPr>
                  <w:r>
                    <w:rPr>
                      <w:rFonts w:ascii="宋体" w:hAnsi="宋体" w:cs="宋体"/>
                      <w:color w:val="auto"/>
                      <w:kern w:val="0"/>
                      <w:sz w:val="24"/>
                      <w:szCs w:val="24"/>
                    </w:rPr>
                    <w:t>11617.93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579" w:hRule="atLeast"/>
              </w:trPr>
              <w:tc>
                <w:tcPr>
                  <w:tcW w:w="4536" w:type="dxa"/>
                  <w:tcBorders>
                    <w:top w:val="outset" w:color="000000" w:sz="6" w:space="0"/>
                    <w:left w:val="outset" w:color="000000" w:sz="6" w:space="0"/>
                    <w:bottom w:val="outset" w:color="000000" w:sz="6" w:space="0"/>
                    <w:right w:val="outset" w:color="000000" w:sz="6" w:space="0"/>
                  </w:tcBorders>
                  <w:noWrap/>
                  <w:vAlign w:val="center"/>
                </w:tcPr>
                <w:p>
                  <w:pPr>
                    <w:widowControl/>
                    <w:jc w:val="left"/>
                    <w:textAlignment w:val="center"/>
                    <w:rPr>
                      <w:rFonts w:ascii="宋体" w:cs="宋体"/>
                      <w:color w:val="auto"/>
                      <w:kern w:val="0"/>
                      <w:sz w:val="24"/>
                      <w:szCs w:val="24"/>
                    </w:rPr>
                  </w:pPr>
                  <w:r>
                    <w:rPr>
                      <w:rFonts w:hint="eastAsia" w:ascii="宋体" w:hAnsi="宋体" w:cs="宋体"/>
                      <w:color w:val="auto"/>
                      <w:kern w:val="0"/>
                      <w:sz w:val="24"/>
                      <w:szCs w:val="24"/>
                    </w:rPr>
                    <w:t>纳入一般公共预算管理的非税收入拨款</w:t>
                  </w:r>
                </w:p>
              </w:tc>
              <w:tc>
                <w:tcPr>
                  <w:tcW w:w="4905" w:type="dxa"/>
                  <w:tcBorders>
                    <w:top w:val="outset" w:color="000000" w:sz="6" w:space="0"/>
                    <w:left w:val="outset" w:color="000000" w:sz="6" w:space="0"/>
                    <w:bottom w:val="outset" w:color="000000" w:sz="6" w:space="0"/>
                    <w:right w:val="outset" w:color="000000" w:sz="6" w:space="0"/>
                  </w:tcBorders>
                  <w:noWrap/>
                  <w:vAlign w:val="center"/>
                </w:tcPr>
                <w:p>
                  <w:pPr>
                    <w:widowControl/>
                    <w:spacing w:line="480" w:lineRule="auto"/>
                    <w:ind w:firstLine="2160" w:firstLineChars="900"/>
                    <w:rPr>
                      <w:rFonts w:ascii="宋体" w:cs="宋体"/>
                      <w:color w:val="auto"/>
                      <w:kern w:val="0"/>
                      <w:sz w:val="24"/>
                      <w:szCs w:val="24"/>
                    </w:rPr>
                  </w:pPr>
                  <w:r>
                    <w:rPr>
                      <w:rFonts w:ascii="宋体" w:hAnsi="宋体" w:cs="宋体"/>
                      <w:color w:val="auto"/>
                      <w:kern w:val="0"/>
                      <w:sz w:val="24"/>
                      <w:szCs w:val="24"/>
                    </w:rPr>
                    <w:t>630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4536" w:type="dxa"/>
                  <w:tcBorders>
                    <w:top w:val="outset" w:color="000000" w:sz="6" w:space="0"/>
                    <w:left w:val="outset" w:color="000000" w:sz="6" w:space="0"/>
                    <w:bottom w:val="outset" w:color="000000" w:sz="6" w:space="0"/>
                    <w:right w:val="outset" w:color="000000" w:sz="6" w:space="0"/>
                  </w:tcBorders>
                  <w:noWrap/>
                  <w:vAlign w:val="center"/>
                </w:tcPr>
                <w:p>
                  <w:pPr>
                    <w:widowControl/>
                    <w:spacing w:line="480" w:lineRule="auto"/>
                    <w:rPr>
                      <w:rFonts w:ascii="宋体" w:cs="宋体"/>
                      <w:color w:val="auto"/>
                      <w:kern w:val="0"/>
                      <w:sz w:val="24"/>
                      <w:szCs w:val="24"/>
                    </w:rPr>
                  </w:pPr>
                  <w:r>
                    <w:rPr>
                      <w:rFonts w:hint="eastAsia" w:ascii="宋体" w:hAnsi="宋体" w:cs="宋体"/>
                      <w:color w:val="auto"/>
                      <w:kern w:val="0"/>
                      <w:sz w:val="24"/>
                      <w:szCs w:val="24"/>
                    </w:rPr>
                    <w:t>二、本年支出</w:t>
                  </w:r>
                </w:p>
              </w:tc>
              <w:tc>
                <w:tcPr>
                  <w:tcW w:w="4905" w:type="dxa"/>
                  <w:tcBorders>
                    <w:top w:val="outset" w:color="000000" w:sz="6" w:space="0"/>
                    <w:left w:val="outset" w:color="000000" w:sz="6" w:space="0"/>
                    <w:bottom w:val="outset" w:color="000000" w:sz="6" w:space="0"/>
                    <w:right w:val="outset" w:color="000000" w:sz="6" w:space="0"/>
                  </w:tcBorders>
                  <w:noWrap/>
                  <w:vAlign w:val="center"/>
                </w:tcPr>
                <w:p>
                  <w:pPr>
                    <w:widowControl/>
                    <w:spacing w:line="480" w:lineRule="auto"/>
                    <w:jc w:val="center"/>
                    <w:rPr>
                      <w:rFonts w:ascii="宋体" w:cs="宋体"/>
                      <w:color w:val="auto"/>
                      <w:kern w:val="0"/>
                      <w:sz w:val="24"/>
                      <w:szCs w:val="24"/>
                    </w:rPr>
                  </w:pPr>
                  <w:r>
                    <w:rPr>
                      <w:rFonts w:ascii="宋体" w:hAnsi="宋体" w:cs="宋体"/>
                      <w:color w:val="auto"/>
                      <w:kern w:val="0"/>
                      <w:sz w:val="24"/>
                      <w:szCs w:val="24"/>
                    </w:rPr>
                    <w:t>12247.93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c>
                <w:tcPr>
                  <w:tcW w:w="4536" w:type="dxa"/>
                  <w:tcBorders>
                    <w:top w:val="outset" w:color="000000" w:sz="6" w:space="0"/>
                    <w:left w:val="outset" w:color="000000" w:sz="6" w:space="0"/>
                    <w:bottom w:val="outset" w:color="000000" w:sz="6" w:space="0"/>
                    <w:right w:val="outset" w:color="000000" w:sz="6" w:space="0"/>
                  </w:tcBorders>
                  <w:noWrap/>
                  <w:vAlign w:val="center"/>
                </w:tcPr>
                <w:p>
                  <w:pPr>
                    <w:widowControl/>
                    <w:spacing w:line="480" w:lineRule="auto"/>
                    <w:rPr>
                      <w:rFonts w:ascii="宋体" w:cs="宋体"/>
                      <w:color w:val="auto"/>
                      <w:kern w:val="0"/>
                      <w:sz w:val="24"/>
                      <w:szCs w:val="24"/>
                    </w:rPr>
                  </w:pPr>
                  <w:r>
                    <w:rPr>
                      <w:rFonts w:hint="eastAsia" w:ascii="宋体" w:hAnsi="宋体" w:cs="宋体"/>
                      <w:color w:val="auto"/>
                      <w:kern w:val="0"/>
                      <w:sz w:val="24"/>
                      <w:szCs w:val="24"/>
                    </w:rPr>
                    <w:t>基本支出</w:t>
                  </w:r>
                </w:p>
              </w:tc>
              <w:tc>
                <w:tcPr>
                  <w:tcW w:w="4905" w:type="dxa"/>
                  <w:tcBorders>
                    <w:top w:val="outset" w:color="000000" w:sz="6" w:space="0"/>
                    <w:left w:val="outset" w:color="000000" w:sz="6" w:space="0"/>
                    <w:bottom w:val="outset" w:color="000000" w:sz="6" w:space="0"/>
                    <w:right w:val="outset" w:color="000000" w:sz="6" w:space="0"/>
                  </w:tcBorders>
                  <w:noWrap/>
                  <w:vAlign w:val="center"/>
                </w:tcPr>
                <w:p>
                  <w:pPr>
                    <w:widowControl/>
                    <w:spacing w:line="480" w:lineRule="auto"/>
                    <w:jc w:val="center"/>
                    <w:rPr>
                      <w:rFonts w:ascii="宋体" w:cs="宋体"/>
                      <w:color w:val="auto"/>
                      <w:kern w:val="0"/>
                      <w:sz w:val="24"/>
                      <w:szCs w:val="24"/>
                    </w:rPr>
                  </w:pPr>
                  <w:r>
                    <w:rPr>
                      <w:rFonts w:ascii="宋体" w:hAnsi="宋体" w:cs="宋体"/>
                      <w:color w:val="auto"/>
                      <w:kern w:val="0"/>
                      <w:sz w:val="24"/>
                      <w:szCs w:val="24"/>
                    </w:rPr>
                    <w:t>10095.79</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4536" w:type="dxa"/>
                  <w:tcBorders>
                    <w:top w:val="outset" w:color="000000" w:sz="6" w:space="0"/>
                    <w:left w:val="outset" w:color="000000" w:sz="6" w:space="0"/>
                    <w:bottom w:val="outset" w:color="000000" w:sz="6" w:space="0"/>
                    <w:right w:val="outset" w:color="000000" w:sz="6" w:space="0"/>
                  </w:tcBorders>
                  <w:noWrap/>
                  <w:vAlign w:val="center"/>
                </w:tcPr>
                <w:p>
                  <w:pPr>
                    <w:widowControl/>
                    <w:spacing w:line="480" w:lineRule="auto"/>
                    <w:rPr>
                      <w:rFonts w:ascii="宋体" w:cs="宋体"/>
                      <w:color w:val="auto"/>
                      <w:kern w:val="0"/>
                      <w:sz w:val="24"/>
                      <w:szCs w:val="24"/>
                    </w:rPr>
                  </w:pPr>
                  <w:r>
                    <w:rPr>
                      <w:rFonts w:hint="eastAsia" w:ascii="宋体" w:hAnsi="宋体" w:cs="宋体"/>
                      <w:color w:val="auto"/>
                      <w:kern w:val="0"/>
                      <w:sz w:val="24"/>
                      <w:szCs w:val="24"/>
                    </w:rPr>
                    <w:t>其中：财政拨款支出</w:t>
                  </w:r>
                </w:p>
              </w:tc>
              <w:tc>
                <w:tcPr>
                  <w:tcW w:w="4905" w:type="dxa"/>
                  <w:tcBorders>
                    <w:top w:val="outset" w:color="000000" w:sz="6" w:space="0"/>
                    <w:left w:val="outset" w:color="000000" w:sz="6" w:space="0"/>
                    <w:bottom w:val="outset" w:color="000000" w:sz="6" w:space="0"/>
                    <w:right w:val="outset" w:color="000000" w:sz="6" w:space="0"/>
                  </w:tcBorders>
                  <w:noWrap/>
                  <w:vAlign w:val="center"/>
                </w:tcPr>
                <w:p>
                  <w:pPr>
                    <w:widowControl/>
                    <w:spacing w:line="480" w:lineRule="auto"/>
                    <w:jc w:val="center"/>
                    <w:rPr>
                      <w:rFonts w:ascii="宋体" w:cs="宋体"/>
                      <w:color w:val="auto"/>
                      <w:kern w:val="0"/>
                      <w:sz w:val="24"/>
                      <w:szCs w:val="24"/>
                    </w:rPr>
                  </w:pPr>
                  <w:r>
                    <w:rPr>
                      <w:rFonts w:ascii="宋体" w:hAnsi="宋体" w:cs="宋体"/>
                      <w:color w:val="auto"/>
                      <w:kern w:val="0"/>
                      <w:sz w:val="24"/>
                      <w:szCs w:val="24"/>
                    </w:rPr>
                    <w:t>10095.79</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4536" w:type="dxa"/>
                  <w:tcBorders>
                    <w:top w:val="outset" w:color="000000" w:sz="6" w:space="0"/>
                    <w:left w:val="outset" w:color="000000" w:sz="6" w:space="0"/>
                    <w:bottom w:val="outset" w:color="000000" w:sz="6" w:space="0"/>
                    <w:right w:val="outset" w:color="000000" w:sz="6" w:space="0"/>
                  </w:tcBorders>
                  <w:noWrap/>
                  <w:vAlign w:val="center"/>
                </w:tcPr>
                <w:p>
                  <w:pPr>
                    <w:widowControl/>
                    <w:spacing w:line="480" w:lineRule="auto"/>
                    <w:rPr>
                      <w:rFonts w:ascii="宋体" w:cs="宋体"/>
                      <w:color w:val="auto"/>
                      <w:kern w:val="0"/>
                      <w:sz w:val="24"/>
                      <w:szCs w:val="24"/>
                    </w:rPr>
                  </w:pPr>
                  <w:r>
                    <w:rPr>
                      <w:rFonts w:hint="eastAsia" w:ascii="宋体" w:hAnsi="宋体" w:cs="宋体"/>
                      <w:color w:val="auto"/>
                      <w:kern w:val="0"/>
                      <w:sz w:val="24"/>
                      <w:szCs w:val="24"/>
                    </w:rPr>
                    <w:t>项目支出</w:t>
                  </w:r>
                </w:p>
              </w:tc>
              <w:tc>
                <w:tcPr>
                  <w:tcW w:w="4905" w:type="dxa"/>
                  <w:tcBorders>
                    <w:top w:val="outset" w:color="000000" w:sz="6" w:space="0"/>
                    <w:left w:val="outset" w:color="000000" w:sz="6" w:space="0"/>
                    <w:bottom w:val="outset" w:color="000000" w:sz="6" w:space="0"/>
                    <w:right w:val="outset" w:color="000000" w:sz="6" w:space="0"/>
                  </w:tcBorders>
                  <w:noWrap/>
                  <w:vAlign w:val="center"/>
                </w:tcPr>
                <w:p>
                  <w:pPr>
                    <w:widowControl/>
                    <w:spacing w:line="480" w:lineRule="auto"/>
                    <w:jc w:val="center"/>
                    <w:rPr>
                      <w:rFonts w:ascii="宋体" w:cs="宋体"/>
                      <w:color w:val="auto"/>
                      <w:kern w:val="0"/>
                      <w:sz w:val="24"/>
                      <w:szCs w:val="24"/>
                    </w:rPr>
                  </w:pPr>
                  <w:r>
                    <w:rPr>
                      <w:rFonts w:ascii="宋体" w:hAnsi="宋体" w:cs="宋体"/>
                      <w:color w:val="auto"/>
                      <w:kern w:val="0"/>
                      <w:sz w:val="24"/>
                      <w:szCs w:val="24"/>
                    </w:rPr>
                    <w:t>2152.14</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4536" w:type="dxa"/>
                  <w:tcBorders>
                    <w:top w:val="outset" w:color="000000" w:sz="6" w:space="0"/>
                    <w:left w:val="outset" w:color="000000" w:sz="6" w:space="0"/>
                    <w:bottom w:val="outset" w:color="000000" w:sz="6" w:space="0"/>
                    <w:right w:val="outset" w:color="000000" w:sz="6" w:space="0"/>
                  </w:tcBorders>
                  <w:noWrap/>
                  <w:vAlign w:val="center"/>
                </w:tcPr>
                <w:p>
                  <w:pPr>
                    <w:widowControl/>
                    <w:spacing w:line="480" w:lineRule="auto"/>
                    <w:rPr>
                      <w:rFonts w:ascii="宋体" w:cs="宋体"/>
                      <w:color w:val="auto"/>
                      <w:kern w:val="0"/>
                      <w:sz w:val="24"/>
                      <w:szCs w:val="24"/>
                    </w:rPr>
                  </w:pPr>
                  <w:r>
                    <w:rPr>
                      <w:rFonts w:hint="eastAsia" w:ascii="宋体" w:hAnsi="宋体" w:cs="宋体"/>
                      <w:color w:val="auto"/>
                      <w:kern w:val="0"/>
                      <w:sz w:val="24"/>
                      <w:szCs w:val="24"/>
                    </w:rPr>
                    <w:t>其中：财政拨款支出</w:t>
                  </w:r>
                </w:p>
              </w:tc>
              <w:tc>
                <w:tcPr>
                  <w:tcW w:w="4905" w:type="dxa"/>
                  <w:tcBorders>
                    <w:top w:val="outset" w:color="000000" w:sz="6" w:space="0"/>
                    <w:left w:val="outset" w:color="000000" w:sz="6" w:space="0"/>
                    <w:bottom w:val="outset" w:color="000000" w:sz="6" w:space="0"/>
                    <w:right w:val="outset" w:color="000000" w:sz="6" w:space="0"/>
                  </w:tcBorders>
                  <w:noWrap/>
                  <w:vAlign w:val="center"/>
                </w:tcPr>
                <w:p>
                  <w:pPr>
                    <w:widowControl/>
                    <w:spacing w:line="480" w:lineRule="auto"/>
                    <w:jc w:val="center"/>
                    <w:rPr>
                      <w:rFonts w:ascii="宋体" w:cs="宋体"/>
                      <w:color w:val="auto"/>
                      <w:kern w:val="0"/>
                      <w:sz w:val="24"/>
                      <w:szCs w:val="24"/>
                    </w:rPr>
                  </w:pPr>
                  <w:r>
                    <w:rPr>
                      <w:rFonts w:ascii="宋体" w:hAnsi="宋体" w:cs="宋体"/>
                      <w:color w:val="auto"/>
                      <w:kern w:val="0"/>
                      <w:sz w:val="24"/>
                      <w:szCs w:val="24"/>
                    </w:rPr>
                    <w:t>2152.14</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c>
                <w:tcPr>
                  <w:tcW w:w="4536" w:type="dxa"/>
                  <w:tcBorders>
                    <w:top w:val="outset" w:color="000000" w:sz="6" w:space="0"/>
                    <w:left w:val="outset" w:color="000000" w:sz="6" w:space="0"/>
                    <w:bottom w:val="outset" w:color="000000" w:sz="6" w:space="0"/>
                    <w:right w:val="outset" w:color="000000" w:sz="6" w:space="0"/>
                  </w:tcBorders>
                  <w:noWrap/>
                  <w:vAlign w:val="center"/>
                </w:tcPr>
                <w:p>
                  <w:pPr>
                    <w:widowControl/>
                    <w:spacing w:line="480" w:lineRule="auto"/>
                    <w:rPr>
                      <w:rFonts w:ascii="宋体" w:cs="宋体"/>
                      <w:color w:val="auto"/>
                      <w:kern w:val="0"/>
                      <w:sz w:val="24"/>
                      <w:szCs w:val="24"/>
                    </w:rPr>
                  </w:pPr>
                  <w:r>
                    <w:rPr>
                      <w:rFonts w:hint="eastAsia" w:ascii="宋体" w:hAnsi="宋体" w:cs="宋体"/>
                      <w:color w:val="auto"/>
                      <w:kern w:val="0"/>
                      <w:sz w:val="24"/>
                      <w:szCs w:val="24"/>
                    </w:rPr>
                    <w:t>支出预算合计</w:t>
                  </w:r>
                </w:p>
              </w:tc>
              <w:tc>
                <w:tcPr>
                  <w:tcW w:w="4905" w:type="dxa"/>
                  <w:tcBorders>
                    <w:top w:val="outset" w:color="000000" w:sz="6" w:space="0"/>
                    <w:left w:val="outset" w:color="000000" w:sz="6" w:space="0"/>
                    <w:bottom w:val="outset" w:color="000000" w:sz="6" w:space="0"/>
                    <w:right w:val="outset" w:color="000000" w:sz="6" w:space="0"/>
                  </w:tcBorders>
                  <w:noWrap/>
                  <w:vAlign w:val="center"/>
                </w:tcPr>
                <w:p>
                  <w:pPr>
                    <w:widowControl/>
                    <w:spacing w:line="480" w:lineRule="auto"/>
                    <w:jc w:val="center"/>
                    <w:rPr>
                      <w:rFonts w:ascii="宋体" w:cs="宋体"/>
                      <w:color w:val="auto"/>
                      <w:kern w:val="0"/>
                      <w:sz w:val="24"/>
                      <w:szCs w:val="24"/>
                    </w:rPr>
                  </w:pPr>
                  <w:r>
                    <w:rPr>
                      <w:rFonts w:ascii="宋体" w:hAnsi="宋体" w:cs="宋体"/>
                      <w:color w:val="auto"/>
                      <w:kern w:val="0"/>
                      <w:sz w:val="24"/>
                      <w:szCs w:val="24"/>
                    </w:rPr>
                    <w:t>12247.93</w:t>
                  </w:r>
                </w:p>
              </w:tc>
            </w:tr>
          </w:tbl>
          <w:p>
            <w:pPr>
              <w:spacing w:line="56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从预算批复分析，年度预算收入</w:t>
            </w:r>
            <w:r>
              <w:rPr>
                <w:rFonts w:ascii="仿宋_GB2312" w:hAnsi="仿宋_GB2312" w:eastAsia="仿宋_GB2312" w:cs="仿宋_GB2312"/>
                <w:bCs/>
                <w:color w:val="auto"/>
                <w:sz w:val="28"/>
                <w:szCs w:val="28"/>
              </w:rPr>
              <w:t>12247.93</w:t>
            </w:r>
            <w:r>
              <w:rPr>
                <w:rFonts w:hint="eastAsia" w:ascii="仿宋_GB2312" w:hAnsi="仿宋_GB2312" w:eastAsia="仿宋_GB2312" w:cs="仿宋_GB2312"/>
                <w:bCs/>
                <w:color w:val="auto"/>
                <w:sz w:val="28"/>
                <w:szCs w:val="28"/>
              </w:rPr>
              <w:t>万元，全部为财政拨款收入，全年预算支出</w:t>
            </w:r>
            <w:r>
              <w:rPr>
                <w:rFonts w:ascii="仿宋_GB2312" w:hAnsi="仿宋_GB2312" w:eastAsia="仿宋_GB2312" w:cs="仿宋_GB2312"/>
                <w:bCs/>
                <w:color w:val="auto"/>
                <w:sz w:val="28"/>
                <w:szCs w:val="28"/>
              </w:rPr>
              <w:t>12247.93</w:t>
            </w:r>
            <w:r>
              <w:rPr>
                <w:rFonts w:hint="eastAsia" w:ascii="仿宋_GB2312" w:hAnsi="仿宋_GB2312" w:eastAsia="仿宋_GB2312" w:cs="仿宋_GB2312"/>
                <w:bCs/>
                <w:color w:val="auto"/>
                <w:sz w:val="28"/>
                <w:szCs w:val="28"/>
              </w:rPr>
              <w:t>万元，其中基本支出</w:t>
            </w:r>
            <w:r>
              <w:rPr>
                <w:rFonts w:ascii="仿宋_GB2312" w:hAnsi="仿宋_GB2312" w:eastAsia="仿宋_GB2312" w:cs="仿宋_GB2312"/>
                <w:bCs/>
                <w:color w:val="auto"/>
                <w:sz w:val="28"/>
                <w:szCs w:val="28"/>
              </w:rPr>
              <w:t>10095.79</w:t>
            </w:r>
            <w:r>
              <w:rPr>
                <w:rFonts w:hint="eastAsia" w:ascii="仿宋_GB2312" w:hAnsi="仿宋_GB2312" w:eastAsia="仿宋_GB2312" w:cs="仿宋_GB2312"/>
                <w:bCs/>
                <w:color w:val="auto"/>
                <w:sz w:val="28"/>
                <w:szCs w:val="28"/>
              </w:rPr>
              <w:t>万元，占总支出的</w:t>
            </w:r>
            <w:r>
              <w:rPr>
                <w:rFonts w:ascii="仿宋_GB2312" w:hAnsi="仿宋_GB2312" w:eastAsia="仿宋_GB2312" w:cs="仿宋_GB2312"/>
                <w:bCs/>
                <w:color w:val="auto"/>
                <w:sz w:val="28"/>
                <w:szCs w:val="28"/>
              </w:rPr>
              <w:t>82.43%</w:t>
            </w:r>
            <w:r>
              <w:rPr>
                <w:rFonts w:hint="eastAsia" w:ascii="仿宋_GB2312" w:hAnsi="仿宋_GB2312" w:eastAsia="仿宋_GB2312" w:cs="仿宋_GB2312"/>
                <w:bCs/>
                <w:color w:val="auto"/>
                <w:sz w:val="28"/>
                <w:szCs w:val="28"/>
              </w:rPr>
              <w:t>，使用内容为人员经费和日常公用经费。项目支出</w:t>
            </w:r>
            <w:r>
              <w:rPr>
                <w:rFonts w:ascii="仿宋_GB2312" w:hAnsi="仿宋_GB2312" w:eastAsia="仿宋_GB2312" w:cs="仿宋_GB2312"/>
                <w:bCs/>
                <w:color w:val="auto"/>
                <w:sz w:val="28"/>
                <w:szCs w:val="28"/>
              </w:rPr>
              <w:t>2152.14</w:t>
            </w:r>
            <w:r>
              <w:rPr>
                <w:rFonts w:hint="eastAsia" w:ascii="仿宋_GB2312" w:hAnsi="仿宋_GB2312" w:eastAsia="仿宋_GB2312" w:cs="仿宋_GB2312"/>
                <w:bCs/>
                <w:color w:val="auto"/>
                <w:sz w:val="28"/>
                <w:szCs w:val="28"/>
              </w:rPr>
              <w:t>万元，占支出的</w:t>
            </w:r>
            <w:r>
              <w:rPr>
                <w:rFonts w:ascii="仿宋_GB2312" w:hAnsi="仿宋_GB2312" w:eastAsia="仿宋_GB2312" w:cs="仿宋_GB2312"/>
                <w:bCs/>
                <w:color w:val="auto"/>
                <w:sz w:val="28"/>
                <w:szCs w:val="28"/>
              </w:rPr>
              <w:t>17.57%</w:t>
            </w:r>
            <w:r>
              <w:rPr>
                <w:rFonts w:hint="eastAsia" w:ascii="仿宋_GB2312" w:hAnsi="仿宋_GB2312" w:eastAsia="仿宋_GB2312" w:cs="仿宋_GB2312"/>
                <w:bCs/>
                <w:color w:val="auto"/>
                <w:sz w:val="28"/>
                <w:szCs w:val="28"/>
              </w:rPr>
              <w:t>。使用内容为：打击传销等市场监管执法</w:t>
            </w:r>
            <w:r>
              <w:rPr>
                <w:rFonts w:ascii="仿宋_GB2312" w:hAnsi="仿宋_GB2312" w:eastAsia="仿宋_GB2312" w:cs="仿宋_GB2312"/>
                <w:bCs/>
                <w:color w:val="auto"/>
                <w:sz w:val="28"/>
                <w:szCs w:val="28"/>
              </w:rPr>
              <w:t>699</w:t>
            </w:r>
            <w:r>
              <w:rPr>
                <w:rFonts w:hint="eastAsia" w:ascii="仿宋_GB2312" w:hAnsi="仿宋_GB2312" w:eastAsia="仿宋_GB2312" w:cs="仿宋_GB2312"/>
                <w:bCs/>
                <w:color w:val="auto"/>
                <w:sz w:val="28"/>
                <w:szCs w:val="28"/>
              </w:rPr>
              <w:t>万元，非税收入征收成本</w:t>
            </w:r>
            <w:r>
              <w:rPr>
                <w:rFonts w:ascii="仿宋_GB2312" w:hAnsi="仿宋_GB2312" w:eastAsia="仿宋_GB2312" w:cs="仿宋_GB2312"/>
                <w:bCs/>
                <w:color w:val="auto"/>
                <w:sz w:val="28"/>
                <w:szCs w:val="28"/>
              </w:rPr>
              <w:t>441</w:t>
            </w:r>
            <w:r>
              <w:rPr>
                <w:rFonts w:hint="eastAsia" w:ascii="仿宋_GB2312" w:hAnsi="仿宋_GB2312" w:eastAsia="仿宋_GB2312" w:cs="仿宋_GB2312"/>
                <w:bCs/>
                <w:color w:val="auto"/>
                <w:sz w:val="28"/>
                <w:szCs w:val="28"/>
              </w:rPr>
              <w:t>万元，办公设备购置等</w:t>
            </w:r>
            <w:r>
              <w:rPr>
                <w:rFonts w:ascii="仿宋_GB2312" w:hAnsi="仿宋_GB2312" w:eastAsia="仿宋_GB2312" w:cs="仿宋_GB2312"/>
                <w:bCs/>
                <w:color w:val="auto"/>
                <w:sz w:val="28"/>
                <w:szCs w:val="28"/>
              </w:rPr>
              <w:t>30</w:t>
            </w:r>
            <w:r>
              <w:rPr>
                <w:rFonts w:hint="eastAsia" w:ascii="仿宋_GB2312" w:hAnsi="仿宋_GB2312" w:eastAsia="仿宋_GB2312" w:cs="仿宋_GB2312"/>
                <w:bCs/>
                <w:color w:val="auto"/>
                <w:sz w:val="28"/>
                <w:szCs w:val="28"/>
              </w:rPr>
              <w:t>万元，商事制度改革、商标广告管理等市场主体管理专项</w:t>
            </w:r>
            <w:r>
              <w:rPr>
                <w:rFonts w:ascii="仿宋_GB2312" w:hAnsi="仿宋_GB2312" w:eastAsia="仿宋_GB2312" w:cs="仿宋_GB2312"/>
                <w:bCs/>
                <w:color w:val="auto"/>
                <w:sz w:val="28"/>
                <w:szCs w:val="28"/>
              </w:rPr>
              <w:t>269.80</w:t>
            </w:r>
            <w:r>
              <w:rPr>
                <w:rFonts w:hint="eastAsia" w:ascii="仿宋_GB2312" w:hAnsi="仿宋_GB2312" w:eastAsia="仿宋_GB2312" w:cs="仿宋_GB2312"/>
                <w:bCs/>
                <w:color w:val="auto"/>
                <w:sz w:val="28"/>
                <w:szCs w:val="28"/>
              </w:rPr>
              <w:t>万元，大型修缮</w:t>
            </w:r>
            <w:r>
              <w:rPr>
                <w:rFonts w:ascii="仿宋_GB2312" w:hAnsi="仿宋_GB2312" w:eastAsia="仿宋_GB2312" w:cs="仿宋_GB2312"/>
                <w:bCs/>
                <w:color w:val="auto"/>
                <w:sz w:val="28"/>
                <w:szCs w:val="28"/>
              </w:rPr>
              <w:t>122.15</w:t>
            </w:r>
            <w:r>
              <w:rPr>
                <w:rFonts w:hint="eastAsia" w:ascii="仿宋_GB2312" w:hAnsi="仿宋_GB2312" w:eastAsia="仿宋_GB2312" w:cs="仿宋_GB2312"/>
                <w:bCs/>
                <w:color w:val="auto"/>
                <w:sz w:val="28"/>
                <w:szCs w:val="28"/>
              </w:rPr>
              <w:t>万元，重点工业产品食品监督抽查、强制检定、政府质量考核工作、政府质量考核工作、标准化、专项打假及投诉处理、纤维及制品质量监督、其他民生领域质量监督、法人库及条码管理等质量基础管理专项</w:t>
            </w:r>
            <w:r>
              <w:rPr>
                <w:rFonts w:ascii="仿宋_GB2312" w:hAnsi="仿宋_GB2312" w:eastAsia="仿宋_GB2312" w:cs="仿宋_GB2312"/>
                <w:bCs/>
                <w:color w:val="auto"/>
                <w:sz w:val="28"/>
                <w:szCs w:val="28"/>
              </w:rPr>
              <w:t>288</w:t>
            </w:r>
            <w:r>
              <w:rPr>
                <w:rFonts w:hint="eastAsia" w:ascii="仿宋_GB2312" w:hAnsi="仿宋_GB2312" w:eastAsia="仿宋_GB2312" w:cs="仿宋_GB2312"/>
                <w:bCs/>
                <w:color w:val="auto"/>
                <w:sz w:val="28"/>
                <w:szCs w:val="28"/>
              </w:rPr>
              <w:t>万元，特种设备安全监管专项</w:t>
            </w:r>
            <w:r>
              <w:rPr>
                <w:rFonts w:ascii="仿宋_GB2312" w:hAnsi="仿宋_GB2312" w:eastAsia="仿宋_GB2312" w:cs="仿宋_GB2312"/>
                <w:bCs/>
                <w:color w:val="auto"/>
                <w:sz w:val="28"/>
                <w:szCs w:val="28"/>
              </w:rPr>
              <w:t>27</w:t>
            </w:r>
            <w:r>
              <w:rPr>
                <w:rFonts w:hint="eastAsia" w:ascii="仿宋_GB2312" w:hAnsi="仿宋_GB2312" w:eastAsia="仿宋_GB2312" w:cs="仿宋_GB2312"/>
                <w:bCs/>
                <w:color w:val="auto"/>
                <w:sz w:val="28"/>
                <w:szCs w:val="28"/>
              </w:rPr>
              <w:t>万元，食品药品安全监管</w:t>
            </w:r>
            <w:r>
              <w:rPr>
                <w:rFonts w:ascii="仿宋_GB2312" w:hAnsi="仿宋_GB2312" w:eastAsia="仿宋_GB2312" w:cs="仿宋_GB2312"/>
                <w:bCs/>
                <w:color w:val="auto"/>
                <w:sz w:val="28"/>
                <w:szCs w:val="28"/>
              </w:rPr>
              <w:t>275.19</w:t>
            </w:r>
            <w:r>
              <w:rPr>
                <w:rFonts w:hint="eastAsia" w:ascii="仿宋_GB2312" w:hAnsi="仿宋_GB2312" w:eastAsia="仿宋_GB2312" w:cs="仿宋_GB2312"/>
                <w:bCs/>
                <w:color w:val="auto"/>
                <w:sz w:val="28"/>
                <w:szCs w:val="28"/>
              </w:rPr>
              <w:t>万元。</w:t>
            </w:r>
          </w:p>
          <w:p>
            <w:pPr>
              <w:spacing w:line="560" w:lineRule="exact"/>
              <w:ind w:firstLine="280" w:firstLineChars="100"/>
              <w:rPr>
                <w:rFonts w:ascii="宋体" w:cs="宋体"/>
                <w:b/>
                <w:color w:val="auto"/>
                <w:sz w:val="28"/>
                <w:szCs w:val="28"/>
              </w:rPr>
            </w:pPr>
            <w:r>
              <w:rPr>
                <w:rFonts w:ascii="黑体" w:hAnsi="黑体" w:eastAsia="黑体" w:cs="黑体"/>
                <w:bCs/>
                <w:color w:val="auto"/>
                <w:sz w:val="28"/>
                <w:szCs w:val="28"/>
              </w:rPr>
              <w:t>2</w:t>
            </w:r>
            <w:r>
              <w:rPr>
                <w:rFonts w:hint="eastAsia" w:ascii="黑体" w:hAnsi="黑体" w:eastAsia="黑体" w:cs="黑体"/>
                <w:bCs/>
                <w:color w:val="auto"/>
                <w:sz w:val="28"/>
                <w:szCs w:val="28"/>
              </w:rPr>
              <w:t>、年度部门决算收支情况及</w:t>
            </w:r>
            <w:r>
              <w:rPr>
                <w:rFonts w:hint="eastAsia" w:ascii="宋体" w:hAnsi="宋体" w:cs="宋体"/>
                <w:b/>
                <w:color w:val="auto"/>
                <w:sz w:val="28"/>
                <w:szCs w:val="28"/>
              </w:rPr>
              <w:t>使用方向和主要内容、涉及范围</w:t>
            </w:r>
          </w:p>
          <w:p>
            <w:pPr>
              <w:spacing w:line="560" w:lineRule="exact"/>
              <w:ind w:firstLine="3360" w:firstLineChars="1400"/>
              <w:rPr>
                <w:rFonts w:ascii="宋体" w:cs="宋体"/>
                <w:bCs/>
                <w:color w:val="auto"/>
                <w:sz w:val="28"/>
                <w:szCs w:val="28"/>
              </w:rPr>
            </w:pPr>
            <w:r>
              <w:rPr>
                <w:rFonts w:hint="eastAsia" w:ascii="宋体" w:hAnsi="宋体" w:cs="宋体"/>
                <w:color w:val="auto"/>
                <w:sz w:val="24"/>
                <w:szCs w:val="24"/>
              </w:rPr>
              <w:t>收入决算情况</w:t>
            </w:r>
          </w:p>
          <w:p>
            <w:pPr>
              <w:spacing w:line="560" w:lineRule="exact"/>
              <w:ind w:firstLine="560" w:firstLineChars="200"/>
              <w:rPr>
                <w:rFonts w:ascii="仿宋_GB2312" w:hAnsi="仿宋_GB2312" w:eastAsia="仿宋_GB2312" w:cs="仿宋_GB2312"/>
                <w:bCs/>
                <w:color w:val="auto"/>
                <w:sz w:val="28"/>
                <w:szCs w:val="28"/>
              </w:rPr>
            </w:pPr>
          </w:p>
          <w:tbl>
            <w:tblPr>
              <w:tblStyle w:val="7"/>
              <w:tblW w:w="0" w:type="auto"/>
              <w:tblInd w:w="0" w:type="dxa"/>
              <w:tblLayout w:type="fixed"/>
              <w:tblCellMar>
                <w:top w:w="0" w:type="dxa"/>
                <w:left w:w="0" w:type="dxa"/>
                <w:bottom w:w="0" w:type="dxa"/>
                <w:right w:w="0" w:type="dxa"/>
              </w:tblCellMar>
            </w:tblPr>
            <w:tblGrid>
              <w:gridCol w:w="1520"/>
              <w:gridCol w:w="1595"/>
              <w:gridCol w:w="1390"/>
              <w:gridCol w:w="1460"/>
              <w:gridCol w:w="1140"/>
              <w:gridCol w:w="1688"/>
            </w:tblGrid>
            <w:tr>
              <w:tblPrEx>
                <w:tblCellMar>
                  <w:top w:w="0" w:type="dxa"/>
                  <w:left w:w="0" w:type="dxa"/>
                  <w:bottom w:w="0" w:type="dxa"/>
                  <w:right w:w="0" w:type="dxa"/>
                </w:tblCellMar>
              </w:tblPrEx>
              <w:trPr>
                <w:trHeight w:val="285" w:hRule="atLeast"/>
              </w:trPr>
              <w:tc>
                <w:tcPr>
                  <w:tcW w:w="1520" w:type="dxa"/>
                  <w:tcBorders>
                    <w:top w:val="nil"/>
                    <w:left w:val="nil"/>
                    <w:bottom w:val="nil"/>
                    <w:right w:val="nil"/>
                  </w:tcBorders>
                  <w:noWrap/>
                  <w:tcMar>
                    <w:top w:w="15" w:type="dxa"/>
                    <w:left w:w="15" w:type="dxa"/>
                    <w:right w:w="15" w:type="dxa"/>
                  </w:tcMar>
                  <w:vAlign w:val="center"/>
                </w:tcPr>
                <w:p>
                  <w:pPr>
                    <w:rPr>
                      <w:rFonts w:ascii="宋体" w:cs="宋体"/>
                      <w:color w:val="auto"/>
                      <w:sz w:val="24"/>
                      <w:szCs w:val="24"/>
                    </w:rPr>
                  </w:pPr>
                </w:p>
              </w:tc>
              <w:tc>
                <w:tcPr>
                  <w:tcW w:w="1595" w:type="dxa"/>
                  <w:tcBorders>
                    <w:top w:val="nil"/>
                    <w:left w:val="nil"/>
                    <w:bottom w:val="nil"/>
                    <w:right w:val="nil"/>
                  </w:tcBorders>
                  <w:noWrap/>
                  <w:tcMar>
                    <w:top w:w="15" w:type="dxa"/>
                    <w:left w:w="15" w:type="dxa"/>
                    <w:right w:w="15" w:type="dxa"/>
                  </w:tcMar>
                  <w:vAlign w:val="center"/>
                </w:tcPr>
                <w:p>
                  <w:pPr>
                    <w:rPr>
                      <w:rFonts w:ascii="宋体" w:cs="宋体"/>
                      <w:color w:val="auto"/>
                      <w:sz w:val="24"/>
                      <w:szCs w:val="24"/>
                    </w:rPr>
                  </w:pPr>
                </w:p>
              </w:tc>
              <w:tc>
                <w:tcPr>
                  <w:tcW w:w="1385" w:type="dxa"/>
                  <w:tcBorders>
                    <w:top w:val="nil"/>
                    <w:left w:val="nil"/>
                    <w:bottom w:val="nil"/>
                    <w:right w:val="nil"/>
                  </w:tcBorders>
                  <w:noWrap/>
                  <w:tcMar>
                    <w:top w:w="15" w:type="dxa"/>
                    <w:left w:w="15" w:type="dxa"/>
                    <w:right w:w="15" w:type="dxa"/>
                  </w:tcMar>
                  <w:vAlign w:val="center"/>
                </w:tcPr>
                <w:p>
                  <w:pPr>
                    <w:rPr>
                      <w:rFonts w:ascii="宋体" w:cs="宋体"/>
                      <w:color w:val="auto"/>
                      <w:sz w:val="24"/>
                      <w:szCs w:val="24"/>
                    </w:rPr>
                  </w:pPr>
                </w:p>
              </w:tc>
              <w:tc>
                <w:tcPr>
                  <w:tcW w:w="1460" w:type="dxa"/>
                  <w:tcBorders>
                    <w:top w:val="nil"/>
                    <w:left w:val="nil"/>
                    <w:bottom w:val="nil"/>
                    <w:right w:val="nil"/>
                  </w:tcBorders>
                  <w:noWrap/>
                  <w:tcMar>
                    <w:top w:w="15" w:type="dxa"/>
                    <w:left w:w="15" w:type="dxa"/>
                    <w:right w:w="15" w:type="dxa"/>
                  </w:tcMar>
                  <w:vAlign w:val="center"/>
                </w:tcPr>
                <w:p>
                  <w:pPr>
                    <w:rPr>
                      <w:rFonts w:ascii="宋体" w:cs="宋体"/>
                      <w:color w:val="auto"/>
                      <w:sz w:val="24"/>
                      <w:szCs w:val="24"/>
                    </w:rPr>
                  </w:pPr>
                </w:p>
              </w:tc>
              <w:tc>
                <w:tcPr>
                  <w:tcW w:w="2828" w:type="dxa"/>
                  <w:gridSpan w:val="2"/>
                  <w:tcBorders>
                    <w:top w:val="nil"/>
                    <w:left w:val="nil"/>
                    <w:bottom w:val="nil"/>
                    <w:right w:val="nil"/>
                  </w:tcBorders>
                  <w:noWrap/>
                  <w:tcMar>
                    <w:top w:w="15" w:type="dxa"/>
                    <w:left w:w="15" w:type="dxa"/>
                    <w:right w:w="15" w:type="dxa"/>
                  </w:tcMar>
                  <w:vAlign w:val="center"/>
                </w:tcPr>
                <w:p>
                  <w:pPr>
                    <w:widowControl/>
                    <w:jc w:val="left"/>
                    <w:textAlignment w:val="center"/>
                    <w:rPr>
                      <w:rFonts w:ascii="宋体" w:cs="宋体"/>
                      <w:color w:val="auto"/>
                      <w:sz w:val="24"/>
                      <w:szCs w:val="24"/>
                    </w:rPr>
                  </w:pPr>
                  <w:r>
                    <w:rPr>
                      <w:rFonts w:hint="eastAsia" w:ascii="宋体" w:hAnsi="宋体" w:cs="宋体"/>
                      <w:color w:val="auto"/>
                      <w:kern w:val="0"/>
                      <w:sz w:val="24"/>
                      <w:szCs w:val="24"/>
                    </w:rPr>
                    <w:t>金额单位：万元</w:t>
                  </w:r>
                </w:p>
              </w:tc>
            </w:tr>
            <w:tr>
              <w:tblPrEx>
                <w:tblCellMar>
                  <w:top w:w="0" w:type="dxa"/>
                  <w:left w:w="0" w:type="dxa"/>
                  <w:bottom w:w="0" w:type="dxa"/>
                  <w:right w:w="0" w:type="dxa"/>
                </w:tblCellMar>
              </w:tblPrEx>
              <w:trPr>
                <w:trHeight w:val="465" w:hRule="atLeast"/>
              </w:trPr>
              <w:tc>
                <w:tcPr>
                  <w:tcW w:w="15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cs="宋体"/>
                      <w:color w:val="auto"/>
                      <w:sz w:val="24"/>
                      <w:szCs w:val="24"/>
                    </w:rPr>
                  </w:pPr>
                  <w:r>
                    <w:rPr>
                      <w:rFonts w:hint="eastAsia" w:ascii="宋体" w:hAnsi="宋体" w:cs="宋体"/>
                      <w:color w:val="auto"/>
                      <w:kern w:val="0"/>
                      <w:sz w:val="24"/>
                      <w:szCs w:val="24"/>
                    </w:rPr>
                    <w:t>单位名称</w:t>
                  </w:r>
                </w:p>
              </w:tc>
              <w:tc>
                <w:tcPr>
                  <w:tcW w:w="159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cs="宋体"/>
                      <w:color w:val="auto"/>
                      <w:sz w:val="24"/>
                      <w:szCs w:val="24"/>
                    </w:rPr>
                  </w:pPr>
                  <w:r>
                    <w:rPr>
                      <w:rFonts w:hint="eastAsia" w:ascii="宋体" w:hAnsi="宋体" w:cs="宋体"/>
                      <w:color w:val="auto"/>
                      <w:kern w:val="0"/>
                      <w:sz w:val="24"/>
                      <w:szCs w:val="24"/>
                    </w:rPr>
                    <w:t>预算收入</w:t>
                  </w:r>
                </w:p>
              </w:tc>
              <w:tc>
                <w:tcPr>
                  <w:tcW w:w="139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cs="宋体"/>
                      <w:color w:val="auto"/>
                      <w:sz w:val="24"/>
                      <w:szCs w:val="24"/>
                    </w:rPr>
                  </w:pPr>
                  <w:r>
                    <w:rPr>
                      <w:rFonts w:hint="eastAsia" w:ascii="宋体" w:hAnsi="宋体" w:cs="宋体"/>
                      <w:color w:val="auto"/>
                      <w:kern w:val="0"/>
                      <w:sz w:val="24"/>
                      <w:szCs w:val="24"/>
                    </w:rPr>
                    <w:t>决算收入</w:t>
                  </w:r>
                </w:p>
              </w:tc>
              <w:tc>
                <w:tcPr>
                  <w:tcW w:w="146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cs="宋体"/>
                      <w:color w:val="auto"/>
                      <w:sz w:val="24"/>
                      <w:szCs w:val="24"/>
                    </w:rPr>
                  </w:pPr>
                  <w:r>
                    <w:rPr>
                      <w:rFonts w:hint="eastAsia" w:ascii="宋体" w:hAnsi="宋体" w:cs="宋体"/>
                      <w:color w:val="auto"/>
                      <w:kern w:val="0"/>
                      <w:sz w:val="24"/>
                      <w:szCs w:val="24"/>
                    </w:rPr>
                    <w:t>年末结余</w:t>
                  </w:r>
                </w:p>
              </w:tc>
              <w:tc>
                <w:tcPr>
                  <w:tcW w:w="114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cs="宋体"/>
                      <w:color w:val="auto"/>
                      <w:sz w:val="24"/>
                      <w:szCs w:val="24"/>
                    </w:rPr>
                  </w:pPr>
                  <w:r>
                    <w:rPr>
                      <w:rFonts w:hint="eastAsia" w:ascii="宋体" w:hAnsi="宋体" w:cs="宋体"/>
                      <w:color w:val="auto"/>
                      <w:kern w:val="0"/>
                      <w:sz w:val="24"/>
                      <w:szCs w:val="24"/>
                    </w:rPr>
                    <w:t>上年结余</w:t>
                  </w:r>
                </w:p>
              </w:tc>
              <w:tc>
                <w:tcPr>
                  <w:tcW w:w="1683"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cs="宋体"/>
                      <w:color w:val="auto"/>
                      <w:sz w:val="24"/>
                      <w:szCs w:val="24"/>
                    </w:rPr>
                  </w:pPr>
                  <w:r>
                    <w:rPr>
                      <w:rFonts w:hint="eastAsia" w:ascii="宋体" w:hAnsi="宋体" w:cs="宋体"/>
                      <w:color w:val="auto"/>
                      <w:kern w:val="0"/>
                      <w:sz w:val="24"/>
                      <w:szCs w:val="24"/>
                    </w:rPr>
                    <w:t>本年结余</w:t>
                  </w:r>
                </w:p>
              </w:tc>
            </w:tr>
            <w:tr>
              <w:tblPrEx>
                <w:tblCellMar>
                  <w:top w:w="0" w:type="dxa"/>
                  <w:left w:w="0" w:type="dxa"/>
                  <w:bottom w:w="0" w:type="dxa"/>
                  <w:right w:w="0" w:type="dxa"/>
                </w:tblCellMar>
              </w:tblPrEx>
              <w:trPr>
                <w:trHeight w:val="728" w:hRule="atLeast"/>
              </w:trPr>
              <w:tc>
                <w:tcPr>
                  <w:tcW w:w="1520"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cs="宋体"/>
                      <w:color w:val="auto"/>
                      <w:sz w:val="24"/>
                      <w:szCs w:val="24"/>
                    </w:rPr>
                  </w:pPr>
                  <w:r>
                    <w:rPr>
                      <w:rFonts w:hint="eastAsia" w:ascii="宋体" w:hAnsi="宋体" w:cs="宋体"/>
                      <w:color w:val="auto"/>
                      <w:sz w:val="24"/>
                      <w:szCs w:val="24"/>
                    </w:rPr>
                    <w:t>市场监管局</w:t>
                  </w:r>
                </w:p>
              </w:tc>
              <w:tc>
                <w:tcPr>
                  <w:tcW w:w="1590"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cs="宋体"/>
                      <w:color w:val="auto"/>
                      <w:sz w:val="24"/>
                      <w:szCs w:val="24"/>
                    </w:rPr>
                  </w:pPr>
                  <w:r>
                    <w:rPr>
                      <w:rFonts w:ascii="宋体" w:hAnsi="宋体" w:cs="宋体"/>
                      <w:color w:val="auto"/>
                      <w:kern w:val="0"/>
                      <w:sz w:val="24"/>
                      <w:szCs w:val="24"/>
                    </w:rPr>
                    <w:t>12247.93</w:t>
                  </w:r>
                </w:p>
              </w:tc>
              <w:tc>
                <w:tcPr>
                  <w:tcW w:w="1390"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cs="宋体"/>
                      <w:color w:val="auto"/>
                      <w:sz w:val="24"/>
                      <w:szCs w:val="24"/>
                    </w:rPr>
                  </w:pPr>
                  <w:r>
                    <w:rPr>
                      <w:rFonts w:ascii="宋体" w:hAnsi="宋体" w:cs="宋体"/>
                      <w:color w:val="auto"/>
                      <w:kern w:val="0"/>
                      <w:sz w:val="24"/>
                      <w:szCs w:val="24"/>
                    </w:rPr>
                    <w:t>21511.33</w:t>
                  </w:r>
                </w:p>
              </w:tc>
              <w:tc>
                <w:tcPr>
                  <w:tcW w:w="1460"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cs="宋体"/>
                      <w:color w:val="auto"/>
                      <w:sz w:val="24"/>
                      <w:szCs w:val="24"/>
                    </w:rPr>
                  </w:pPr>
                  <w:r>
                    <w:rPr>
                      <w:rFonts w:ascii="宋体" w:hAnsi="宋体" w:cs="宋体"/>
                      <w:color w:val="auto"/>
                      <w:kern w:val="0"/>
                      <w:sz w:val="24"/>
                      <w:szCs w:val="24"/>
                    </w:rPr>
                    <w:t>2851.98</w:t>
                  </w:r>
                </w:p>
              </w:tc>
              <w:tc>
                <w:tcPr>
                  <w:tcW w:w="1140"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cs="宋体"/>
                      <w:color w:val="auto"/>
                      <w:sz w:val="24"/>
                      <w:szCs w:val="24"/>
                    </w:rPr>
                  </w:pPr>
                  <w:r>
                    <w:rPr>
                      <w:rFonts w:ascii="宋体" w:hAnsi="宋体" w:cs="宋体"/>
                      <w:color w:val="auto"/>
                      <w:kern w:val="0"/>
                      <w:sz w:val="24"/>
                      <w:szCs w:val="24"/>
                    </w:rPr>
                    <w:t>4061.51</w:t>
                  </w:r>
                </w:p>
              </w:tc>
              <w:tc>
                <w:tcPr>
                  <w:tcW w:w="1683"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cs="宋体"/>
                      <w:color w:val="auto"/>
                      <w:sz w:val="24"/>
                      <w:szCs w:val="24"/>
                    </w:rPr>
                  </w:pPr>
                  <w:r>
                    <w:rPr>
                      <w:rFonts w:ascii="宋体" w:hAnsi="宋体" w:cs="宋体"/>
                      <w:color w:val="auto"/>
                      <w:kern w:val="0"/>
                      <w:sz w:val="24"/>
                      <w:szCs w:val="24"/>
                    </w:rPr>
                    <w:t>-1209.54</w:t>
                  </w:r>
                </w:p>
              </w:tc>
            </w:tr>
          </w:tbl>
          <w:p>
            <w:pPr>
              <w:spacing w:line="560" w:lineRule="exact"/>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支出决算情况</w:t>
            </w:r>
          </w:p>
          <w:p>
            <w:pPr>
              <w:spacing w:line="560" w:lineRule="exact"/>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金额单位：万元</w:t>
            </w:r>
          </w:p>
          <w:tbl>
            <w:tblPr>
              <w:tblStyle w:val="7"/>
              <w:tblW w:w="0" w:type="auto"/>
              <w:tblInd w:w="0" w:type="dxa"/>
              <w:tblLayout w:type="fixed"/>
              <w:tblCellMar>
                <w:top w:w="0" w:type="dxa"/>
                <w:left w:w="0" w:type="dxa"/>
                <w:bottom w:w="0" w:type="dxa"/>
                <w:right w:w="0" w:type="dxa"/>
              </w:tblCellMar>
            </w:tblPr>
            <w:tblGrid>
              <w:gridCol w:w="1400"/>
              <w:gridCol w:w="1088"/>
              <w:gridCol w:w="1425"/>
              <w:gridCol w:w="1461"/>
              <w:gridCol w:w="1445"/>
              <w:gridCol w:w="1912"/>
            </w:tblGrid>
            <w:tr>
              <w:tblPrEx>
                <w:tblCellMar>
                  <w:top w:w="0" w:type="dxa"/>
                  <w:left w:w="0" w:type="dxa"/>
                  <w:bottom w:w="0" w:type="dxa"/>
                  <w:right w:w="0" w:type="dxa"/>
                </w:tblCellMar>
              </w:tblPrEx>
              <w:trPr>
                <w:trHeight w:val="420" w:hRule="atLeast"/>
              </w:trPr>
              <w:tc>
                <w:tcPr>
                  <w:tcW w:w="1400" w:type="dxa"/>
                  <w:tcBorders>
                    <w:top w:val="single" w:color="auto" w:sz="4" w:space="0"/>
                    <w:left w:val="single" w:color="auto" w:sz="4" w:space="0"/>
                    <w:bottom w:val="single" w:color="auto" w:sz="4" w:space="0"/>
                    <w:right w:val="nil"/>
                  </w:tcBorders>
                  <w:noWrap/>
                  <w:tcMar>
                    <w:top w:w="15" w:type="dxa"/>
                    <w:left w:w="15" w:type="dxa"/>
                    <w:right w:w="15" w:type="dxa"/>
                  </w:tcMar>
                  <w:vAlign w:val="center"/>
                </w:tcPr>
                <w:p>
                  <w:pPr>
                    <w:widowControl/>
                    <w:jc w:val="center"/>
                    <w:textAlignment w:val="center"/>
                    <w:rPr>
                      <w:rFonts w:ascii="宋体" w:cs="宋体"/>
                      <w:color w:val="auto"/>
                      <w:kern w:val="0"/>
                      <w:sz w:val="24"/>
                      <w:szCs w:val="24"/>
                    </w:rPr>
                  </w:pPr>
                </w:p>
              </w:tc>
              <w:tc>
                <w:tcPr>
                  <w:tcW w:w="2513" w:type="dxa"/>
                  <w:gridSpan w:val="2"/>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textAlignment w:val="center"/>
                    <w:rPr>
                      <w:rFonts w:ascii="宋体" w:cs="宋体"/>
                      <w:color w:val="auto"/>
                      <w:sz w:val="24"/>
                      <w:szCs w:val="24"/>
                    </w:rPr>
                  </w:pPr>
                  <w:r>
                    <w:rPr>
                      <w:rFonts w:hint="eastAsia" w:ascii="宋体" w:hAnsi="宋体" w:cs="宋体"/>
                      <w:color w:val="auto"/>
                      <w:kern w:val="0"/>
                      <w:sz w:val="24"/>
                      <w:szCs w:val="24"/>
                    </w:rPr>
                    <w:t>预算批复</w:t>
                  </w:r>
                </w:p>
              </w:tc>
              <w:tc>
                <w:tcPr>
                  <w:tcW w:w="1461" w:type="dxa"/>
                  <w:tcBorders>
                    <w:top w:val="single" w:color="auto" w:sz="4" w:space="0"/>
                    <w:left w:val="nil"/>
                    <w:bottom w:val="single" w:color="auto" w:sz="4" w:space="0"/>
                    <w:right w:val="nil"/>
                  </w:tcBorders>
                  <w:noWrap/>
                  <w:tcMar>
                    <w:top w:w="15" w:type="dxa"/>
                    <w:left w:w="15" w:type="dxa"/>
                    <w:right w:w="15" w:type="dxa"/>
                  </w:tcMar>
                  <w:vAlign w:val="center"/>
                </w:tcPr>
                <w:p>
                  <w:pPr>
                    <w:widowControl/>
                    <w:jc w:val="center"/>
                    <w:textAlignment w:val="center"/>
                    <w:rPr>
                      <w:rFonts w:ascii="宋体" w:cs="宋体"/>
                      <w:color w:val="auto"/>
                      <w:kern w:val="0"/>
                      <w:sz w:val="24"/>
                      <w:szCs w:val="24"/>
                    </w:rPr>
                  </w:pPr>
                </w:p>
              </w:tc>
              <w:tc>
                <w:tcPr>
                  <w:tcW w:w="3357" w:type="dxa"/>
                  <w:gridSpan w:val="2"/>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textAlignment w:val="center"/>
                    <w:rPr>
                      <w:rFonts w:ascii="宋体" w:cs="宋体"/>
                      <w:color w:val="auto"/>
                      <w:sz w:val="24"/>
                      <w:szCs w:val="24"/>
                    </w:rPr>
                  </w:pPr>
                  <w:r>
                    <w:rPr>
                      <w:rFonts w:hint="eastAsia" w:ascii="宋体" w:hAnsi="宋体" w:cs="宋体"/>
                      <w:color w:val="auto"/>
                      <w:kern w:val="0"/>
                      <w:sz w:val="24"/>
                      <w:szCs w:val="24"/>
                    </w:rPr>
                    <w:t>决算数据</w:t>
                  </w:r>
                </w:p>
              </w:tc>
            </w:tr>
            <w:tr>
              <w:tblPrEx>
                <w:tblCellMar>
                  <w:top w:w="0" w:type="dxa"/>
                  <w:left w:w="0" w:type="dxa"/>
                  <w:bottom w:w="0" w:type="dxa"/>
                  <w:right w:w="0" w:type="dxa"/>
                </w:tblCellMar>
              </w:tblPrEx>
              <w:trPr>
                <w:trHeight w:val="420" w:hRule="atLeast"/>
              </w:trPr>
              <w:tc>
                <w:tcPr>
                  <w:tcW w:w="1400"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cs="宋体"/>
                      <w:color w:val="auto"/>
                      <w:kern w:val="0"/>
                      <w:sz w:val="24"/>
                      <w:szCs w:val="24"/>
                    </w:rPr>
                  </w:pPr>
                  <w:r>
                    <w:rPr>
                      <w:rFonts w:hint="eastAsia" w:ascii="宋体" w:hAnsi="宋体" w:cs="宋体"/>
                      <w:color w:val="auto"/>
                      <w:kern w:val="0"/>
                      <w:sz w:val="24"/>
                      <w:szCs w:val="24"/>
                    </w:rPr>
                    <w:t>合计</w:t>
                  </w:r>
                </w:p>
              </w:tc>
              <w:tc>
                <w:tcPr>
                  <w:tcW w:w="1088"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cs="宋体"/>
                      <w:color w:val="auto"/>
                      <w:sz w:val="24"/>
                      <w:szCs w:val="24"/>
                    </w:rPr>
                  </w:pPr>
                  <w:r>
                    <w:rPr>
                      <w:rFonts w:hint="eastAsia" w:ascii="宋体" w:hAnsi="宋体" w:cs="宋体"/>
                      <w:color w:val="auto"/>
                      <w:kern w:val="0"/>
                      <w:sz w:val="24"/>
                      <w:szCs w:val="24"/>
                    </w:rPr>
                    <w:t>基本支出</w:t>
                  </w:r>
                </w:p>
              </w:tc>
              <w:tc>
                <w:tcPr>
                  <w:tcW w:w="1425"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cs="宋体"/>
                      <w:color w:val="auto"/>
                      <w:sz w:val="24"/>
                      <w:szCs w:val="24"/>
                    </w:rPr>
                  </w:pPr>
                  <w:r>
                    <w:rPr>
                      <w:rFonts w:hint="eastAsia" w:ascii="宋体" w:hAnsi="宋体" w:cs="宋体"/>
                      <w:color w:val="auto"/>
                      <w:kern w:val="0"/>
                      <w:sz w:val="24"/>
                      <w:szCs w:val="24"/>
                    </w:rPr>
                    <w:t>项目支出</w:t>
                  </w:r>
                </w:p>
              </w:tc>
              <w:tc>
                <w:tcPr>
                  <w:tcW w:w="1461"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cs="宋体"/>
                      <w:color w:val="auto"/>
                      <w:kern w:val="0"/>
                      <w:sz w:val="24"/>
                      <w:szCs w:val="24"/>
                    </w:rPr>
                  </w:pPr>
                  <w:r>
                    <w:rPr>
                      <w:rFonts w:hint="eastAsia" w:ascii="宋体" w:hAnsi="宋体" w:cs="宋体"/>
                      <w:color w:val="auto"/>
                      <w:kern w:val="0"/>
                      <w:sz w:val="24"/>
                      <w:szCs w:val="24"/>
                    </w:rPr>
                    <w:t>合计</w:t>
                  </w:r>
                </w:p>
              </w:tc>
              <w:tc>
                <w:tcPr>
                  <w:tcW w:w="1445"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cs="宋体"/>
                      <w:color w:val="auto"/>
                      <w:sz w:val="24"/>
                      <w:szCs w:val="24"/>
                    </w:rPr>
                  </w:pPr>
                  <w:r>
                    <w:rPr>
                      <w:rFonts w:hint="eastAsia" w:ascii="宋体" w:hAnsi="宋体" w:cs="宋体"/>
                      <w:color w:val="auto"/>
                      <w:kern w:val="0"/>
                      <w:sz w:val="24"/>
                      <w:szCs w:val="24"/>
                    </w:rPr>
                    <w:t>基本支出</w:t>
                  </w:r>
                </w:p>
              </w:tc>
              <w:tc>
                <w:tcPr>
                  <w:tcW w:w="1912"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cs="宋体"/>
                      <w:color w:val="auto"/>
                      <w:sz w:val="24"/>
                      <w:szCs w:val="24"/>
                    </w:rPr>
                  </w:pPr>
                  <w:r>
                    <w:rPr>
                      <w:rFonts w:hint="eastAsia" w:ascii="宋体" w:hAnsi="宋体" w:cs="宋体"/>
                      <w:color w:val="auto"/>
                      <w:kern w:val="0"/>
                      <w:sz w:val="24"/>
                      <w:szCs w:val="24"/>
                    </w:rPr>
                    <w:t>项目支出</w:t>
                  </w:r>
                </w:p>
              </w:tc>
            </w:tr>
            <w:tr>
              <w:tblPrEx>
                <w:tblCellMar>
                  <w:top w:w="0" w:type="dxa"/>
                  <w:left w:w="0" w:type="dxa"/>
                  <w:bottom w:w="0" w:type="dxa"/>
                  <w:right w:w="0" w:type="dxa"/>
                </w:tblCellMar>
              </w:tblPrEx>
              <w:trPr>
                <w:trHeight w:val="420" w:hRule="atLeast"/>
              </w:trPr>
              <w:tc>
                <w:tcPr>
                  <w:tcW w:w="1400"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cs="宋体"/>
                      <w:color w:val="auto"/>
                      <w:kern w:val="0"/>
                      <w:sz w:val="24"/>
                      <w:szCs w:val="24"/>
                    </w:rPr>
                  </w:pPr>
                  <w:r>
                    <w:rPr>
                      <w:rFonts w:ascii="宋体" w:hAnsi="宋体" w:cs="宋体"/>
                      <w:color w:val="auto"/>
                      <w:kern w:val="0"/>
                      <w:sz w:val="24"/>
                      <w:szCs w:val="24"/>
                    </w:rPr>
                    <w:t>12247.93</w:t>
                  </w:r>
                </w:p>
              </w:tc>
              <w:tc>
                <w:tcPr>
                  <w:tcW w:w="1088"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cs="宋体"/>
                      <w:color w:val="auto"/>
                      <w:sz w:val="24"/>
                      <w:szCs w:val="24"/>
                    </w:rPr>
                  </w:pPr>
                  <w:r>
                    <w:rPr>
                      <w:rFonts w:ascii="宋体" w:hAnsi="宋体" w:cs="宋体"/>
                      <w:color w:val="auto"/>
                      <w:kern w:val="0"/>
                      <w:sz w:val="24"/>
                      <w:szCs w:val="24"/>
                    </w:rPr>
                    <w:t>10095.79</w:t>
                  </w:r>
                </w:p>
              </w:tc>
              <w:tc>
                <w:tcPr>
                  <w:tcW w:w="1425"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cs="宋体"/>
                      <w:color w:val="auto"/>
                      <w:sz w:val="24"/>
                      <w:szCs w:val="24"/>
                    </w:rPr>
                  </w:pPr>
                  <w:r>
                    <w:rPr>
                      <w:rFonts w:ascii="宋体" w:hAnsi="宋体" w:cs="宋体"/>
                      <w:color w:val="auto"/>
                      <w:kern w:val="0"/>
                      <w:sz w:val="24"/>
                      <w:szCs w:val="24"/>
                    </w:rPr>
                    <w:t>2152.14</w:t>
                  </w:r>
                </w:p>
              </w:tc>
              <w:tc>
                <w:tcPr>
                  <w:tcW w:w="1461"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cs="宋体"/>
                      <w:color w:val="auto"/>
                      <w:kern w:val="0"/>
                      <w:sz w:val="24"/>
                      <w:szCs w:val="24"/>
                    </w:rPr>
                  </w:pPr>
                  <w:r>
                    <w:rPr>
                      <w:rFonts w:ascii="宋体" w:hAnsi="宋体" w:cs="宋体"/>
                      <w:color w:val="auto"/>
                      <w:kern w:val="0"/>
                      <w:sz w:val="24"/>
                      <w:szCs w:val="24"/>
                    </w:rPr>
                    <w:t>19487.75</w:t>
                  </w:r>
                </w:p>
              </w:tc>
              <w:tc>
                <w:tcPr>
                  <w:tcW w:w="1445"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cs="宋体"/>
                      <w:color w:val="auto"/>
                      <w:sz w:val="24"/>
                      <w:szCs w:val="24"/>
                    </w:rPr>
                  </w:pPr>
                  <w:r>
                    <w:rPr>
                      <w:rFonts w:ascii="宋体" w:hAnsi="宋体" w:cs="宋体"/>
                      <w:color w:val="auto"/>
                      <w:sz w:val="24"/>
                      <w:szCs w:val="24"/>
                    </w:rPr>
                    <w:t>13875.28</w:t>
                  </w:r>
                </w:p>
              </w:tc>
              <w:tc>
                <w:tcPr>
                  <w:tcW w:w="1912"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cs="宋体"/>
                      <w:color w:val="auto"/>
                      <w:sz w:val="24"/>
                      <w:szCs w:val="24"/>
                    </w:rPr>
                  </w:pPr>
                  <w:r>
                    <w:rPr>
                      <w:rFonts w:ascii="宋体" w:hAnsi="宋体" w:cs="宋体"/>
                      <w:color w:val="auto"/>
                      <w:kern w:val="0"/>
                      <w:sz w:val="24"/>
                      <w:szCs w:val="24"/>
                    </w:rPr>
                    <w:t>5612.47</w:t>
                  </w:r>
                </w:p>
              </w:tc>
            </w:tr>
          </w:tbl>
          <w:p>
            <w:pPr>
              <w:spacing w:line="560" w:lineRule="exact"/>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从上述数据分析：</w:t>
            </w:r>
            <w:r>
              <w:rPr>
                <w:rFonts w:ascii="仿宋_GB2312" w:hAnsi="仿宋_GB2312" w:eastAsia="仿宋_GB2312" w:cs="仿宋_GB2312"/>
                <w:bCs/>
                <w:color w:val="auto"/>
                <w:sz w:val="28"/>
                <w:szCs w:val="28"/>
              </w:rPr>
              <w:t>2020</w:t>
            </w:r>
            <w:r>
              <w:rPr>
                <w:rFonts w:hint="eastAsia" w:ascii="仿宋_GB2312" w:hAnsi="仿宋_GB2312" w:eastAsia="仿宋_GB2312" w:cs="仿宋_GB2312"/>
                <w:bCs/>
                <w:color w:val="auto"/>
                <w:sz w:val="28"/>
                <w:szCs w:val="28"/>
              </w:rPr>
              <w:t>年预算收入</w:t>
            </w:r>
            <w:r>
              <w:rPr>
                <w:rFonts w:ascii="仿宋_GB2312" w:hAnsi="仿宋_GB2312" w:eastAsia="仿宋_GB2312" w:cs="仿宋_GB2312"/>
                <w:bCs/>
                <w:color w:val="auto"/>
                <w:sz w:val="28"/>
                <w:szCs w:val="28"/>
              </w:rPr>
              <w:t>12247.93</w:t>
            </w:r>
            <w:r>
              <w:rPr>
                <w:rFonts w:hint="eastAsia" w:ascii="仿宋_GB2312" w:hAnsi="仿宋_GB2312" w:eastAsia="仿宋_GB2312" w:cs="仿宋_GB2312"/>
                <w:bCs/>
                <w:color w:val="auto"/>
                <w:sz w:val="28"/>
                <w:szCs w:val="28"/>
              </w:rPr>
              <w:t>万元，决算</w:t>
            </w:r>
            <w:r>
              <w:rPr>
                <w:rFonts w:ascii="仿宋_GB2312" w:hAnsi="仿宋_GB2312" w:eastAsia="仿宋_GB2312" w:cs="仿宋_GB2312"/>
                <w:bCs/>
                <w:color w:val="auto"/>
                <w:sz w:val="28"/>
                <w:szCs w:val="28"/>
              </w:rPr>
              <w:t>19487.75</w:t>
            </w:r>
            <w:r>
              <w:rPr>
                <w:rFonts w:hint="eastAsia" w:ascii="仿宋_GB2312" w:hAnsi="仿宋_GB2312" w:eastAsia="仿宋_GB2312" w:cs="仿宋_GB2312"/>
                <w:bCs/>
                <w:color w:val="auto"/>
                <w:sz w:val="28"/>
                <w:szCs w:val="28"/>
              </w:rPr>
              <w:t>万元，收入增加主要是省级财政追加专项资金，市级财政代编食品药品监管专项资金、知识产权管理专项资金，市级财政追加综合绩效考核资金、平安建设工作考评奖励、基本工资调标、非税超收可用资金等。结余减少主要上年度已列收入的专项资金跨年度使用。</w:t>
            </w:r>
          </w:p>
          <w:p>
            <w:pPr>
              <w:spacing w:line="56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rPr>
              <w:t>二、部门（单位）整体支出管理及使用情况</w:t>
            </w:r>
          </w:p>
          <w:p>
            <w:pPr>
              <w:spacing w:line="56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（一）基本支出</w:t>
            </w:r>
          </w:p>
          <w:p>
            <w:pPr>
              <w:spacing w:line="560" w:lineRule="exact"/>
              <w:ind w:firstLine="560" w:firstLineChars="200"/>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1</w:t>
            </w:r>
            <w:r>
              <w:rPr>
                <w:rFonts w:hint="eastAsia" w:ascii="仿宋_GB2312" w:hAnsi="仿宋_GB2312" w:eastAsia="仿宋_GB2312" w:cs="仿宋_GB2312"/>
                <w:bCs/>
                <w:color w:val="auto"/>
                <w:sz w:val="28"/>
                <w:szCs w:val="28"/>
              </w:rPr>
              <w:t>、人员经费和公用经费管理情况</w:t>
            </w:r>
          </w:p>
          <w:p>
            <w:pPr>
              <w:spacing w:line="56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我局基本支出主要包括人员经费和公用经费，具体为工资福利支出、对个人和家庭补助支出、一般商品和服务支出</w:t>
            </w:r>
            <w:r>
              <w:rPr>
                <w:rFonts w:ascii="仿宋_GB2312" w:hAnsi="仿宋_GB2312" w:eastAsia="仿宋_GB2312" w:cs="仿宋_GB2312"/>
                <w:bCs/>
                <w:color w:val="auto"/>
                <w:sz w:val="28"/>
                <w:szCs w:val="28"/>
              </w:rPr>
              <w:t>.</w:t>
            </w:r>
            <w:r>
              <w:rPr>
                <w:rFonts w:hint="eastAsia" w:ascii="仿宋_GB2312" w:hAnsi="仿宋_GB2312" w:eastAsia="仿宋_GB2312" w:cs="仿宋_GB2312"/>
                <w:bCs/>
                <w:color w:val="auto"/>
                <w:sz w:val="28"/>
                <w:szCs w:val="28"/>
              </w:rPr>
              <w:t>基本支出的管理和使用情况如下：</w:t>
            </w:r>
          </w:p>
          <w:p>
            <w:pPr>
              <w:spacing w:line="56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基本支出执行情况表</w:t>
            </w:r>
          </w:p>
          <w:tbl>
            <w:tblPr>
              <w:tblStyle w:val="7"/>
              <w:tblW w:w="0" w:type="auto"/>
              <w:tblInd w:w="0" w:type="dxa"/>
              <w:tblLayout w:type="fixed"/>
              <w:tblCellMar>
                <w:top w:w="0" w:type="dxa"/>
                <w:left w:w="0" w:type="dxa"/>
                <w:bottom w:w="0" w:type="dxa"/>
                <w:right w:w="0" w:type="dxa"/>
              </w:tblCellMar>
            </w:tblPr>
            <w:tblGrid>
              <w:gridCol w:w="3400"/>
              <w:gridCol w:w="2631"/>
              <w:gridCol w:w="2738"/>
            </w:tblGrid>
            <w:tr>
              <w:tblPrEx>
                <w:tblCellMar>
                  <w:top w:w="0" w:type="dxa"/>
                  <w:left w:w="0" w:type="dxa"/>
                  <w:bottom w:w="0" w:type="dxa"/>
                  <w:right w:w="0" w:type="dxa"/>
                </w:tblCellMar>
              </w:tblPrEx>
              <w:trPr>
                <w:trHeight w:val="375" w:hRule="atLeast"/>
              </w:trPr>
              <w:tc>
                <w:tcPr>
                  <w:tcW w:w="3400" w:type="dxa"/>
                  <w:tcBorders>
                    <w:top w:val="nil"/>
                    <w:left w:val="nil"/>
                    <w:bottom w:val="nil"/>
                    <w:right w:val="nil"/>
                  </w:tcBorders>
                  <w:noWrap/>
                  <w:tcMar>
                    <w:top w:w="15" w:type="dxa"/>
                    <w:left w:w="15" w:type="dxa"/>
                    <w:right w:w="15" w:type="dxa"/>
                  </w:tcMar>
                  <w:vAlign w:val="center"/>
                </w:tcPr>
                <w:p>
                  <w:pPr>
                    <w:rPr>
                      <w:rFonts w:ascii="宋体" w:cs="宋体"/>
                      <w:color w:val="auto"/>
                      <w:sz w:val="24"/>
                      <w:szCs w:val="24"/>
                    </w:rPr>
                  </w:pPr>
                </w:p>
              </w:tc>
              <w:tc>
                <w:tcPr>
                  <w:tcW w:w="2631" w:type="dxa"/>
                  <w:tcBorders>
                    <w:top w:val="nil"/>
                    <w:left w:val="nil"/>
                    <w:bottom w:val="nil"/>
                    <w:right w:val="nil"/>
                  </w:tcBorders>
                  <w:noWrap/>
                  <w:tcMar>
                    <w:top w:w="15" w:type="dxa"/>
                    <w:left w:w="15" w:type="dxa"/>
                    <w:right w:w="15" w:type="dxa"/>
                  </w:tcMar>
                  <w:vAlign w:val="center"/>
                </w:tcPr>
                <w:p>
                  <w:pPr>
                    <w:rPr>
                      <w:rFonts w:ascii="宋体" w:cs="宋体"/>
                      <w:color w:val="auto"/>
                      <w:sz w:val="24"/>
                      <w:szCs w:val="24"/>
                    </w:rPr>
                  </w:pPr>
                </w:p>
              </w:tc>
              <w:tc>
                <w:tcPr>
                  <w:tcW w:w="2738" w:type="dxa"/>
                  <w:tcBorders>
                    <w:top w:val="nil"/>
                    <w:left w:val="nil"/>
                    <w:bottom w:val="nil"/>
                    <w:right w:val="nil"/>
                  </w:tcBorders>
                  <w:noWrap/>
                  <w:tcMar>
                    <w:top w:w="15" w:type="dxa"/>
                    <w:left w:w="15" w:type="dxa"/>
                    <w:right w:w="15" w:type="dxa"/>
                  </w:tcMar>
                  <w:vAlign w:val="center"/>
                </w:tcPr>
                <w:p>
                  <w:pPr>
                    <w:widowControl/>
                    <w:jc w:val="left"/>
                    <w:textAlignment w:val="center"/>
                    <w:rPr>
                      <w:rFonts w:ascii="宋体" w:cs="宋体"/>
                      <w:color w:val="auto"/>
                      <w:sz w:val="24"/>
                      <w:szCs w:val="24"/>
                    </w:rPr>
                  </w:pPr>
                  <w:r>
                    <w:rPr>
                      <w:rFonts w:hint="eastAsia" w:ascii="宋体" w:hAnsi="宋体" w:cs="宋体"/>
                      <w:color w:val="auto"/>
                      <w:kern w:val="0"/>
                      <w:sz w:val="24"/>
                      <w:szCs w:val="24"/>
                    </w:rPr>
                    <w:t>金额单位</w:t>
                  </w:r>
                  <w:r>
                    <w:rPr>
                      <w:rFonts w:ascii="宋体" w:hAnsi="宋体" w:cs="宋体"/>
                      <w:color w:val="auto"/>
                      <w:kern w:val="0"/>
                      <w:sz w:val="24"/>
                      <w:szCs w:val="24"/>
                    </w:rPr>
                    <w:t>:</w:t>
                  </w:r>
                  <w:r>
                    <w:rPr>
                      <w:rFonts w:hint="eastAsia" w:ascii="宋体" w:hAnsi="宋体" w:cs="宋体"/>
                      <w:color w:val="auto"/>
                      <w:kern w:val="0"/>
                      <w:sz w:val="24"/>
                      <w:szCs w:val="24"/>
                    </w:rPr>
                    <w:t>万元</w:t>
                  </w:r>
                </w:p>
              </w:tc>
            </w:tr>
            <w:tr>
              <w:tblPrEx>
                <w:tblCellMar>
                  <w:top w:w="0" w:type="dxa"/>
                  <w:left w:w="0" w:type="dxa"/>
                  <w:bottom w:w="0" w:type="dxa"/>
                  <w:right w:w="0" w:type="dxa"/>
                </w:tblCellMar>
              </w:tblPrEx>
              <w:trPr>
                <w:trHeight w:val="435" w:hRule="atLeast"/>
              </w:trPr>
              <w:tc>
                <w:tcPr>
                  <w:tcW w:w="34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cs="宋体"/>
                      <w:color w:val="auto"/>
                      <w:sz w:val="24"/>
                      <w:szCs w:val="24"/>
                    </w:rPr>
                  </w:pPr>
                  <w:r>
                    <w:rPr>
                      <w:rFonts w:hint="eastAsia" w:ascii="宋体" w:hAnsi="宋体" w:cs="宋体"/>
                      <w:color w:val="auto"/>
                      <w:kern w:val="0"/>
                      <w:sz w:val="24"/>
                      <w:szCs w:val="24"/>
                    </w:rPr>
                    <w:t>项目</w:t>
                  </w:r>
                </w:p>
              </w:tc>
              <w:tc>
                <w:tcPr>
                  <w:tcW w:w="2626" w:type="dxa"/>
                  <w:tcBorders>
                    <w:top w:val="single" w:color="auto" w:sz="4" w:space="0"/>
                    <w:left w:val="nil"/>
                    <w:bottom w:val="single" w:color="auto" w:sz="4" w:space="0"/>
                    <w:right w:val="nil"/>
                  </w:tcBorders>
                  <w:noWrap/>
                  <w:tcMar>
                    <w:top w:w="15" w:type="dxa"/>
                    <w:left w:w="15" w:type="dxa"/>
                    <w:right w:w="15" w:type="dxa"/>
                  </w:tcMar>
                  <w:vAlign w:val="center"/>
                </w:tcPr>
                <w:p>
                  <w:pPr>
                    <w:widowControl/>
                    <w:jc w:val="left"/>
                    <w:textAlignment w:val="center"/>
                    <w:rPr>
                      <w:rFonts w:ascii="宋体" w:cs="宋体"/>
                      <w:color w:val="auto"/>
                      <w:sz w:val="24"/>
                      <w:szCs w:val="24"/>
                    </w:rPr>
                  </w:pPr>
                  <w:r>
                    <w:rPr>
                      <w:rFonts w:hint="eastAsia" w:ascii="宋体" w:hAnsi="宋体" w:cs="宋体"/>
                      <w:color w:val="auto"/>
                      <w:kern w:val="0"/>
                      <w:sz w:val="24"/>
                      <w:szCs w:val="24"/>
                    </w:rPr>
                    <w:t>预算批复</w:t>
                  </w:r>
                </w:p>
              </w:tc>
              <w:tc>
                <w:tcPr>
                  <w:tcW w:w="273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cs="宋体"/>
                      <w:color w:val="auto"/>
                      <w:sz w:val="24"/>
                      <w:szCs w:val="24"/>
                    </w:rPr>
                  </w:pPr>
                  <w:r>
                    <w:rPr>
                      <w:rFonts w:hint="eastAsia" w:ascii="宋体" w:hAnsi="宋体" w:cs="宋体"/>
                      <w:color w:val="auto"/>
                      <w:kern w:val="0"/>
                      <w:sz w:val="24"/>
                      <w:szCs w:val="24"/>
                    </w:rPr>
                    <w:t>决算数据</w:t>
                  </w:r>
                </w:p>
              </w:tc>
            </w:tr>
            <w:tr>
              <w:tblPrEx>
                <w:tblCellMar>
                  <w:top w:w="0" w:type="dxa"/>
                  <w:left w:w="0" w:type="dxa"/>
                  <w:bottom w:w="0" w:type="dxa"/>
                  <w:right w:w="0" w:type="dxa"/>
                </w:tblCellMar>
              </w:tblPrEx>
              <w:trPr>
                <w:trHeight w:val="420" w:hRule="atLeast"/>
              </w:trPr>
              <w:tc>
                <w:tcPr>
                  <w:tcW w:w="3400"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cs="宋体"/>
                      <w:color w:val="auto"/>
                      <w:sz w:val="24"/>
                      <w:szCs w:val="24"/>
                    </w:rPr>
                  </w:pPr>
                  <w:r>
                    <w:rPr>
                      <w:rFonts w:hint="eastAsia" w:ascii="宋体" w:hAnsi="宋体" w:cs="宋体"/>
                      <w:color w:val="auto"/>
                      <w:kern w:val="0"/>
                      <w:sz w:val="24"/>
                      <w:szCs w:val="24"/>
                    </w:rPr>
                    <w:t>工资福利支出</w:t>
                  </w:r>
                </w:p>
              </w:tc>
              <w:tc>
                <w:tcPr>
                  <w:tcW w:w="2626"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cs="宋体"/>
                      <w:color w:val="auto"/>
                      <w:sz w:val="24"/>
                      <w:szCs w:val="24"/>
                    </w:rPr>
                  </w:pPr>
                  <w:r>
                    <w:rPr>
                      <w:rFonts w:ascii="宋体" w:hAnsi="宋体" w:cs="宋体"/>
                      <w:color w:val="auto"/>
                      <w:kern w:val="0"/>
                      <w:sz w:val="24"/>
                      <w:szCs w:val="24"/>
                    </w:rPr>
                    <w:t>8202.68</w:t>
                  </w:r>
                </w:p>
              </w:tc>
              <w:tc>
                <w:tcPr>
                  <w:tcW w:w="2738"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cs="宋体"/>
                      <w:color w:val="auto"/>
                      <w:sz w:val="24"/>
                      <w:szCs w:val="24"/>
                    </w:rPr>
                  </w:pPr>
                  <w:r>
                    <w:rPr>
                      <w:rFonts w:ascii="宋体" w:hAnsi="宋体" w:cs="宋体"/>
                      <w:color w:val="auto"/>
                      <w:kern w:val="0"/>
                      <w:sz w:val="24"/>
                      <w:szCs w:val="24"/>
                    </w:rPr>
                    <w:t>10506.63</w:t>
                  </w:r>
                </w:p>
              </w:tc>
            </w:tr>
            <w:tr>
              <w:trPr>
                <w:trHeight w:val="285" w:hRule="atLeast"/>
              </w:trPr>
              <w:tc>
                <w:tcPr>
                  <w:tcW w:w="3400"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cs="宋体"/>
                      <w:color w:val="auto"/>
                      <w:sz w:val="24"/>
                      <w:szCs w:val="24"/>
                    </w:rPr>
                  </w:pPr>
                  <w:r>
                    <w:rPr>
                      <w:rFonts w:hint="eastAsia" w:ascii="宋体" w:hAnsi="宋体" w:cs="宋体"/>
                      <w:color w:val="auto"/>
                      <w:kern w:val="0"/>
                      <w:sz w:val="24"/>
                      <w:szCs w:val="24"/>
                    </w:rPr>
                    <w:t>商品和服务支出</w:t>
                  </w:r>
                </w:p>
              </w:tc>
              <w:tc>
                <w:tcPr>
                  <w:tcW w:w="2626"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cs="宋体"/>
                      <w:color w:val="auto"/>
                      <w:sz w:val="24"/>
                      <w:szCs w:val="24"/>
                    </w:rPr>
                  </w:pPr>
                  <w:r>
                    <w:rPr>
                      <w:rFonts w:ascii="宋体" w:hAnsi="宋体" w:cs="宋体"/>
                      <w:color w:val="auto"/>
                      <w:kern w:val="0"/>
                      <w:sz w:val="24"/>
                      <w:szCs w:val="24"/>
                    </w:rPr>
                    <w:t>1815.68</w:t>
                  </w:r>
                </w:p>
              </w:tc>
              <w:tc>
                <w:tcPr>
                  <w:tcW w:w="2738"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cs="宋体"/>
                      <w:color w:val="auto"/>
                      <w:sz w:val="24"/>
                      <w:szCs w:val="24"/>
                    </w:rPr>
                  </w:pPr>
                  <w:r>
                    <w:rPr>
                      <w:rFonts w:ascii="宋体" w:hAnsi="宋体" w:cs="宋体"/>
                      <w:color w:val="auto"/>
                      <w:sz w:val="24"/>
                      <w:szCs w:val="24"/>
                    </w:rPr>
                    <w:t>2234.38</w:t>
                  </w:r>
                </w:p>
              </w:tc>
            </w:tr>
            <w:tr>
              <w:tblPrEx>
                <w:tblCellMar>
                  <w:top w:w="0" w:type="dxa"/>
                  <w:left w:w="0" w:type="dxa"/>
                  <w:bottom w:w="0" w:type="dxa"/>
                  <w:right w:w="0" w:type="dxa"/>
                </w:tblCellMar>
              </w:tblPrEx>
              <w:trPr>
                <w:trHeight w:val="285" w:hRule="atLeast"/>
              </w:trPr>
              <w:tc>
                <w:tcPr>
                  <w:tcW w:w="3400"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cs="宋体"/>
                      <w:color w:val="auto"/>
                      <w:sz w:val="24"/>
                      <w:szCs w:val="24"/>
                    </w:rPr>
                  </w:pPr>
                  <w:r>
                    <w:rPr>
                      <w:rFonts w:hint="eastAsia" w:ascii="宋体" w:hAnsi="宋体" w:cs="宋体"/>
                      <w:color w:val="auto"/>
                      <w:kern w:val="0"/>
                      <w:sz w:val="24"/>
                      <w:szCs w:val="24"/>
                    </w:rPr>
                    <w:t>对个人和家庭补助支出</w:t>
                  </w:r>
                </w:p>
              </w:tc>
              <w:tc>
                <w:tcPr>
                  <w:tcW w:w="2626"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cs="宋体"/>
                      <w:color w:val="auto"/>
                      <w:sz w:val="24"/>
                      <w:szCs w:val="24"/>
                    </w:rPr>
                  </w:pPr>
                  <w:r>
                    <w:rPr>
                      <w:rFonts w:ascii="宋体" w:hAnsi="宋体" w:cs="宋体"/>
                      <w:color w:val="auto"/>
                      <w:kern w:val="0"/>
                      <w:sz w:val="24"/>
                      <w:szCs w:val="24"/>
                    </w:rPr>
                    <w:t>77.43</w:t>
                  </w:r>
                </w:p>
              </w:tc>
              <w:tc>
                <w:tcPr>
                  <w:tcW w:w="2738"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cs="宋体"/>
                      <w:color w:val="auto"/>
                      <w:sz w:val="24"/>
                      <w:szCs w:val="24"/>
                    </w:rPr>
                  </w:pPr>
                  <w:r>
                    <w:rPr>
                      <w:rFonts w:ascii="宋体" w:hAnsi="宋体" w:cs="宋体"/>
                      <w:color w:val="auto"/>
                      <w:kern w:val="0"/>
                      <w:sz w:val="24"/>
                      <w:szCs w:val="24"/>
                    </w:rPr>
                    <w:t>1134.27</w:t>
                  </w:r>
                </w:p>
              </w:tc>
            </w:tr>
            <w:tr>
              <w:tblPrEx>
                <w:tblCellMar>
                  <w:top w:w="0" w:type="dxa"/>
                  <w:left w:w="0" w:type="dxa"/>
                  <w:bottom w:w="0" w:type="dxa"/>
                  <w:right w:w="0" w:type="dxa"/>
                </w:tblCellMar>
              </w:tblPrEx>
              <w:trPr>
                <w:trHeight w:val="285" w:hRule="atLeast"/>
              </w:trPr>
              <w:tc>
                <w:tcPr>
                  <w:tcW w:w="3400"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cs="宋体"/>
                      <w:color w:val="auto"/>
                      <w:sz w:val="24"/>
                      <w:szCs w:val="24"/>
                    </w:rPr>
                  </w:pPr>
                  <w:r>
                    <w:rPr>
                      <w:rFonts w:hint="eastAsia" w:ascii="宋体" w:hAnsi="宋体" w:cs="宋体"/>
                      <w:color w:val="auto"/>
                      <w:kern w:val="0"/>
                      <w:sz w:val="24"/>
                      <w:szCs w:val="24"/>
                    </w:rPr>
                    <w:t>合计</w:t>
                  </w:r>
                </w:p>
              </w:tc>
              <w:tc>
                <w:tcPr>
                  <w:tcW w:w="2626" w:type="dxa"/>
                  <w:tcBorders>
                    <w:top w:val="nil"/>
                    <w:left w:val="nil"/>
                    <w:bottom w:val="single" w:color="auto" w:sz="4" w:space="0"/>
                    <w:right w:val="single" w:color="auto" w:sz="4" w:space="0"/>
                  </w:tcBorders>
                  <w:noWrap/>
                  <w:tcMar>
                    <w:top w:w="15" w:type="dxa"/>
                    <w:left w:w="15" w:type="dxa"/>
                    <w:right w:w="15" w:type="dxa"/>
                  </w:tcMar>
                  <w:vAlign w:val="center"/>
                </w:tcPr>
                <w:p>
                  <w:pPr>
                    <w:jc w:val="right"/>
                    <w:rPr>
                      <w:rFonts w:ascii="宋体" w:cs="宋体"/>
                      <w:color w:val="auto"/>
                      <w:sz w:val="24"/>
                      <w:szCs w:val="24"/>
                    </w:rPr>
                  </w:pPr>
                  <w:r>
                    <w:rPr>
                      <w:rFonts w:ascii="宋体" w:hAnsi="宋体" w:cs="宋体"/>
                      <w:color w:val="auto"/>
                      <w:sz w:val="24"/>
                      <w:szCs w:val="24"/>
                    </w:rPr>
                    <w:t>10095.79</w:t>
                  </w:r>
                </w:p>
              </w:tc>
              <w:tc>
                <w:tcPr>
                  <w:tcW w:w="2738" w:type="dxa"/>
                  <w:tcBorders>
                    <w:top w:val="nil"/>
                    <w:left w:val="nil"/>
                    <w:bottom w:val="single" w:color="auto" w:sz="4" w:space="0"/>
                    <w:right w:val="single" w:color="auto" w:sz="4" w:space="0"/>
                  </w:tcBorders>
                  <w:noWrap/>
                  <w:tcMar>
                    <w:top w:w="15" w:type="dxa"/>
                    <w:left w:w="15" w:type="dxa"/>
                    <w:right w:w="15" w:type="dxa"/>
                  </w:tcMar>
                  <w:vAlign w:val="center"/>
                </w:tcPr>
                <w:p>
                  <w:pPr>
                    <w:jc w:val="right"/>
                    <w:rPr>
                      <w:rFonts w:ascii="宋体" w:cs="宋体"/>
                      <w:color w:val="auto"/>
                      <w:sz w:val="24"/>
                      <w:szCs w:val="24"/>
                    </w:rPr>
                  </w:pPr>
                  <w:r>
                    <w:rPr>
                      <w:rFonts w:ascii="宋体" w:hAnsi="宋体" w:cs="宋体"/>
                      <w:color w:val="auto"/>
                      <w:sz w:val="24"/>
                      <w:szCs w:val="24"/>
                    </w:rPr>
                    <w:t>13875.28</w:t>
                  </w:r>
                </w:p>
              </w:tc>
            </w:tr>
          </w:tbl>
          <w:p>
            <w:pPr>
              <w:spacing w:line="56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从上表分析：基本支出超支</w:t>
            </w:r>
            <w:r>
              <w:rPr>
                <w:rFonts w:ascii="仿宋_GB2312" w:hAnsi="仿宋_GB2312" w:eastAsia="仿宋_GB2312" w:cs="仿宋_GB2312"/>
                <w:bCs/>
                <w:color w:val="auto"/>
                <w:sz w:val="28"/>
                <w:szCs w:val="28"/>
              </w:rPr>
              <w:t>3779.49</w:t>
            </w:r>
            <w:r>
              <w:rPr>
                <w:rFonts w:hint="eastAsia" w:ascii="仿宋_GB2312" w:hAnsi="仿宋_GB2312" w:eastAsia="仿宋_GB2312" w:cs="仿宋_GB2312"/>
                <w:bCs/>
                <w:color w:val="auto"/>
                <w:sz w:val="28"/>
                <w:szCs w:val="28"/>
              </w:rPr>
              <w:t>万元，主要是工资福利支出增加</w:t>
            </w:r>
            <w:r>
              <w:rPr>
                <w:rFonts w:ascii="仿宋_GB2312" w:hAnsi="仿宋_GB2312" w:eastAsia="仿宋_GB2312" w:cs="仿宋_GB2312"/>
                <w:bCs/>
                <w:color w:val="auto"/>
                <w:sz w:val="28"/>
                <w:szCs w:val="28"/>
              </w:rPr>
              <w:t>2303.95</w:t>
            </w:r>
            <w:r>
              <w:rPr>
                <w:rFonts w:hint="eastAsia" w:ascii="仿宋_GB2312" w:hAnsi="仿宋_GB2312" w:eastAsia="仿宋_GB2312" w:cs="仿宋_GB2312"/>
                <w:bCs/>
                <w:color w:val="auto"/>
                <w:sz w:val="28"/>
                <w:szCs w:val="28"/>
              </w:rPr>
              <w:t>万元，商品和服务支出增加</w:t>
            </w:r>
            <w:r>
              <w:rPr>
                <w:rFonts w:ascii="仿宋_GB2312" w:hAnsi="仿宋_GB2312" w:eastAsia="仿宋_GB2312" w:cs="仿宋_GB2312"/>
                <w:bCs/>
                <w:color w:val="auto"/>
                <w:sz w:val="28"/>
                <w:szCs w:val="28"/>
              </w:rPr>
              <w:t>418.70</w:t>
            </w:r>
            <w:r>
              <w:rPr>
                <w:rFonts w:hint="eastAsia" w:ascii="仿宋_GB2312" w:hAnsi="仿宋_GB2312" w:eastAsia="仿宋_GB2312" w:cs="仿宋_GB2312"/>
                <w:bCs/>
                <w:color w:val="auto"/>
                <w:sz w:val="28"/>
                <w:szCs w:val="28"/>
              </w:rPr>
              <w:t>万元，对个人和家庭补助支出增加</w:t>
            </w:r>
            <w:r>
              <w:rPr>
                <w:rFonts w:ascii="仿宋_GB2312" w:hAnsi="仿宋_GB2312" w:eastAsia="仿宋_GB2312" w:cs="仿宋_GB2312"/>
                <w:bCs/>
                <w:color w:val="auto"/>
                <w:sz w:val="28"/>
                <w:szCs w:val="28"/>
              </w:rPr>
              <w:t>1056.84</w:t>
            </w:r>
            <w:r>
              <w:rPr>
                <w:rFonts w:hint="eastAsia" w:ascii="仿宋_GB2312" w:hAnsi="仿宋_GB2312" w:eastAsia="仿宋_GB2312" w:cs="仿宋_GB2312"/>
                <w:bCs/>
                <w:color w:val="auto"/>
                <w:sz w:val="28"/>
                <w:szCs w:val="28"/>
              </w:rPr>
              <w:t>万元。人员支出增加主要是增加了综合绩效考核资金、平安建设考评奖励、第十三个月工资三项支出，公用经费支出增加主要是增加了事业人员车补。</w:t>
            </w:r>
          </w:p>
          <w:p>
            <w:pPr>
              <w:spacing w:line="560" w:lineRule="exact"/>
              <w:ind w:firstLine="560" w:firstLineChars="200"/>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2</w:t>
            </w:r>
            <w:r>
              <w:rPr>
                <w:rFonts w:hint="eastAsia" w:ascii="仿宋_GB2312" w:hAnsi="仿宋_GB2312" w:eastAsia="仿宋_GB2312" w:cs="仿宋_GB2312"/>
                <w:bCs/>
                <w:color w:val="auto"/>
                <w:sz w:val="28"/>
                <w:szCs w:val="28"/>
              </w:rPr>
              <w:t>、“三公经费”支出使用和管理情况</w:t>
            </w:r>
          </w:p>
          <w:p>
            <w:pPr>
              <w:spacing w:line="560" w:lineRule="exact"/>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“三公”经费执行情况表</w:t>
            </w:r>
          </w:p>
          <w:tbl>
            <w:tblPr>
              <w:tblStyle w:val="7"/>
              <w:tblW w:w="0" w:type="auto"/>
              <w:tblInd w:w="0" w:type="dxa"/>
              <w:tblLayout w:type="fixed"/>
              <w:tblCellMar>
                <w:top w:w="0" w:type="dxa"/>
                <w:left w:w="0" w:type="dxa"/>
                <w:bottom w:w="0" w:type="dxa"/>
                <w:right w:w="0" w:type="dxa"/>
              </w:tblCellMar>
            </w:tblPr>
            <w:tblGrid>
              <w:gridCol w:w="2584"/>
              <w:gridCol w:w="2811"/>
              <w:gridCol w:w="3383"/>
            </w:tblGrid>
            <w:tr>
              <w:tblPrEx>
                <w:tblCellMar>
                  <w:top w:w="0" w:type="dxa"/>
                  <w:left w:w="0" w:type="dxa"/>
                  <w:bottom w:w="0" w:type="dxa"/>
                  <w:right w:w="0" w:type="dxa"/>
                </w:tblCellMar>
              </w:tblPrEx>
              <w:trPr>
                <w:trHeight w:val="375" w:hRule="atLeast"/>
              </w:trPr>
              <w:tc>
                <w:tcPr>
                  <w:tcW w:w="2584" w:type="dxa"/>
                  <w:tcBorders>
                    <w:top w:val="nil"/>
                    <w:left w:val="nil"/>
                    <w:bottom w:val="nil"/>
                    <w:right w:val="nil"/>
                  </w:tcBorders>
                  <w:noWrap/>
                  <w:tcMar>
                    <w:top w:w="15" w:type="dxa"/>
                    <w:left w:w="15" w:type="dxa"/>
                    <w:right w:w="15" w:type="dxa"/>
                  </w:tcMar>
                  <w:vAlign w:val="center"/>
                </w:tcPr>
                <w:p>
                  <w:pPr>
                    <w:rPr>
                      <w:rFonts w:ascii="宋体" w:cs="宋体"/>
                      <w:color w:val="auto"/>
                      <w:sz w:val="24"/>
                      <w:szCs w:val="24"/>
                    </w:rPr>
                  </w:pPr>
                </w:p>
              </w:tc>
              <w:tc>
                <w:tcPr>
                  <w:tcW w:w="2811" w:type="dxa"/>
                  <w:tcBorders>
                    <w:top w:val="nil"/>
                    <w:left w:val="nil"/>
                    <w:bottom w:val="nil"/>
                    <w:right w:val="nil"/>
                  </w:tcBorders>
                  <w:noWrap/>
                  <w:tcMar>
                    <w:top w:w="15" w:type="dxa"/>
                    <w:left w:w="15" w:type="dxa"/>
                    <w:right w:w="15" w:type="dxa"/>
                  </w:tcMar>
                  <w:vAlign w:val="center"/>
                </w:tcPr>
                <w:p>
                  <w:pPr>
                    <w:rPr>
                      <w:rFonts w:ascii="宋体" w:cs="宋体"/>
                      <w:color w:val="auto"/>
                      <w:sz w:val="24"/>
                      <w:szCs w:val="24"/>
                    </w:rPr>
                  </w:pPr>
                </w:p>
              </w:tc>
              <w:tc>
                <w:tcPr>
                  <w:tcW w:w="3383" w:type="dxa"/>
                  <w:tcBorders>
                    <w:top w:val="nil"/>
                    <w:left w:val="nil"/>
                    <w:bottom w:val="nil"/>
                    <w:right w:val="nil"/>
                  </w:tcBorders>
                  <w:noWrap/>
                  <w:tcMar>
                    <w:top w:w="15" w:type="dxa"/>
                    <w:left w:w="15" w:type="dxa"/>
                    <w:right w:w="15" w:type="dxa"/>
                  </w:tcMar>
                  <w:vAlign w:val="center"/>
                </w:tcPr>
                <w:p>
                  <w:pPr>
                    <w:rPr>
                      <w:rFonts w:ascii="宋体" w:cs="宋体"/>
                      <w:color w:val="auto"/>
                      <w:sz w:val="24"/>
                      <w:szCs w:val="24"/>
                    </w:rPr>
                  </w:pPr>
                </w:p>
              </w:tc>
            </w:tr>
            <w:tr>
              <w:tblPrEx>
                <w:tblCellMar>
                  <w:top w:w="0" w:type="dxa"/>
                  <w:left w:w="0" w:type="dxa"/>
                  <w:bottom w:w="0" w:type="dxa"/>
                  <w:right w:w="0" w:type="dxa"/>
                </w:tblCellMar>
              </w:tblPrEx>
              <w:trPr>
                <w:trHeight w:val="435" w:hRule="atLeast"/>
              </w:trPr>
              <w:tc>
                <w:tcPr>
                  <w:tcW w:w="25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cs="宋体"/>
                      <w:color w:val="auto"/>
                      <w:sz w:val="24"/>
                      <w:szCs w:val="24"/>
                    </w:rPr>
                  </w:pPr>
                  <w:r>
                    <w:rPr>
                      <w:rFonts w:hint="eastAsia" w:ascii="宋体" w:hAnsi="宋体" w:cs="宋体"/>
                      <w:color w:val="auto"/>
                      <w:kern w:val="0"/>
                      <w:sz w:val="24"/>
                      <w:szCs w:val="24"/>
                    </w:rPr>
                    <w:t>项目</w:t>
                  </w:r>
                </w:p>
              </w:tc>
              <w:tc>
                <w:tcPr>
                  <w:tcW w:w="2806"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cs="宋体"/>
                      <w:color w:val="auto"/>
                      <w:kern w:val="0"/>
                      <w:sz w:val="24"/>
                      <w:szCs w:val="24"/>
                    </w:rPr>
                  </w:pPr>
                  <w:r>
                    <w:rPr>
                      <w:rFonts w:hint="eastAsia" w:ascii="宋体" w:hAnsi="宋体" w:cs="宋体"/>
                      <w:color w:val="auto"/>
                      <w:kern w:val="0"/>
                      <w:sz w:val="24"/>
                      <w:szCs w:val="24"/>
                    </w:rPr>
                    <w:t>本年发生额</w:t>
                  </w:r>
                </w:p>
              </w:tc>
              <w:tc>
                <w:tcPr>
                  <w:tcW w:w="3383" w:type="dxa"/>
                  <w:tcBorders>
                    <w:top w:val="single" w:color="auto" w:sz="4" w:space="0"/>
                    <w:left w:val="single" w:color="auto" w:sz="4" w:space="0"/>
                    <w:bottom w:val="single" w:color="auto" w:sz="4" w:space="0"/>
                    <w:right w:val="nil"/>
                  </w:tcBorders>
                  <w:noWrap/>
                  <w:tcMar>
                    <w:top w:w="15" w:type="dxa"/>
                    <w:left w:w="15" w:type="dxa"/>
                    <w:right w:w="15" w:type="dxa"/>
                  </w:tcMar>
                  <w:vAlign w:val="center"/>
                </w:tcPr>
                <w:p>
                  <w:pPr>
                    <w:widowControl/>
                    <w:ind w:firstLine="960" w:firstLineChars="400"/>
                    <w:jc w:val="left"/>
                    <w:textAlignment w:val="center"/>
                    <w:rPr>
                      <w:rFonts w:ascii="宋体" w:cs="宋体"/>
                      <w:color w:val="auto"/>
                      <w:sz w:val="24"/>
                      <w:szCs w:val="24"/>
                    </w:rPr>
                  </w:pPr>
                  <w:r>
                    <w:rPr>
                      <w:rFonts w:hint="eastAsia" w:ascii="宋体" w:hAnsi="宋体" w:cs="宋体"/>
                      <w:color w:val="auto"/>
                      <w:kern w:val="0"/>
                      <w:sz w:val="24"/>
                      <w:szCs w:val="24"/>
                    </w:rPr>
                    <w:t>预算批复</w:t>
                  </w:r>
                </w:p>
              </w:tc>
            </w:tr>
            <w:tr>
              <w:tblPrEx>
                <w:tblCellMar>
                  <w:top w:w="0" w:type="dxa"/>
                  <w:left w:w="0" w:type="dxa"/>
                  <w:bottom w:w="0" w:type="dxa"/>
                  <w:right w:w="0" w:type="dxa"/>
                </w:tblCellMar>
              </w:tblPrEx>
              <w:trPr>
                <w:trHeight w:val="420" w:hRule="atLeast"/>
              </w:trPr>
              <w:tc>
                <w:tcPr>
                  <w:tcW w:w="2584"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cs="宋体"/>
                      <w:color w:val="auto"/>
                      <w:sz w:val="24"/>
                      <w:szCs w:val="24"/>
                    </w:rPr>
                  </w:pPr>
                  <w:r>
                    <w:rPr>
                      <w:rFonts w:hint="eastAsia" w:ascii="宋体" w:hAnsi="宋体" w:cs="宋体"/>
                      <w:color w:val="auto"/>
                      <w:kern w:val="0"/>
                      <w:sz w:val="24"/>
                      <w:szCs w:val="24"/>
                    </w:rPr>
                    <w:t>公务接待费</w:t>
                  </w:r>
                </w:p>
              </w:tc>
              <w:tc>
                <w:tcPr>
                  <w:tcW w:w="2806"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cs="宋体"/>
                      <w:color w:val="auto"/>
                      <w:kern w:val="0"/>
                      <w:sz w:val="24"/>
                      <w:szCs w:val="24"/>
                    </w:rPr>
                  </w:pPr>
                  <w:r>
                    <w:rPr>
                      <w:rFonts w:ascii="宋体" w:hAnsi="宋体" w:cs="宋体"/>
                      <w:color w:val="auto"/>
                      <w:kern w:val="0"/>
                      <w:sz w:val="24"/>
                      <w:szCs w:val="24"/>
                    </w:rPr>
                    <w:t>36.47</w:t>
                  </w:r>
                </w:p>
              </w:tc>
              <w:tc>
                <w:tcPr>
                  <w:tcW w:w="3383"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cs="宋体"/>
                      <w:color w:val="auto"/>
                      <w:sz w:val="24"/>
                      <w:szCs w:val="24"/>
                    </w:rPr>
                  </w:pPr>
                  <w:r>
                    <w:rPr>
                      <w:rFonts w:ascii="宋体" w:hAnsi="宋体" w:cs="宋体"/>
                      <w:color w:val="auto"/>
                      <w:sz w:val="24"/>
                      <w:szCs w:val="24"/>
                    </w:rPr>
                    <w:t>128.15</w:t>
                  </w:r>
                </w:p>
              </w:tc>
            </w:tr>
            <w:tr>
              <w:tblPrEx>
                <w:tblCellMar>
                  <w:top w:w="0" w:type="dxa"/>
                  <w:left w:w="0" w:type="dxa"/>
                  <w:bottom w:w="0" w:type="dxa"/>
                  <w:right w:w="0" w:type="dxa"/>
                </w:tblCellMar>
              </w:tblPrEx>
              <w:trPr>
                <w:trHeight w:val="285" w:hRule="atLeast"/>
              </w:trPr>
              <w:tc>
                <w:tcPr>
                  <w:tcW w:w="2584"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cs="宋体"/>
                      <w:color w:val="auto"/>
                      <w:sz w:val="24"/>
                      <w:szCs w:val="24"/>
                    </w:rPr>
                  </w:pPr>
                  <w:r>
                    <w:rPr>
                      <w:rFonts w:hint="eastAsia" w:ascii="宋体" w:hAnsi="宋体" w:cs="宋体"/>
                      <w:color w:val="auto"/>
                      <w:kern w:val="0"/>
                      <w:sz w:val="24"/>
                      <w:szCs w:val="24"/>
                    </w:rPr>
                    <w:t>公务车运行维护费</w:t>
                  </w:r>
                </w:p>
              </w:tc>
              <w:tc>
                <w:tcPr>
                  <w:tcW w:w="2806"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cs="宋体"/>
                      <w:color w:val="auto"/>
                      <w:kern w:val="0"/>
                      <w:sz w:val="24"/>
                      <w:szCs w:val="24"/>
                    </w:rPr>
                  </w:pPr>
                  <w:r>
                    <w:rPr>
                      <w:rFonts w:ascii="宋体" w:hAnsi="宋体" w:cs="宋体"/>
                      <w:color w:val="auto"/>
                      <w:kern w:val="0"/>
                      <w:sz w:val="24"/>
                      <w:szCs w:val="24"/>
                    </w:rPr>
                    <w:t>131.18</w:t>
                  </w:r>
                </w:p>
              </w:tc>
              <w:tc>
                <w:tcPr>
                  <w:tcW w:w="3383"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cs="宋体"/>
                      <w:color w:val="auto"/>
                      <w:sz w:val="24"/>
                      <w:szCs w:val="24"/>
                    </w:rPr>
                  </w:pPr>
                  <w:r>
                    <w:rPr>
                      <w:rFonts w:ascii="宋体" w:hAnsi="宋体" w:cs="宋体"/>
                      <w:color w:val="auto"/>
                      <w:sz w:val="24"/>
                      <w:szCs w:val="24"/>
                    </w:rPr>
                    <w:t>195</w:t>
                  </w:r>
                </w:p>
              </w:tc>
            </w:tr>
            <w:tr>
              <w:tblPrEx>
                <w:tblCellMar>
                  <w:top w:w="0" w:type="dxa"/>
                  <w:left w:w="0" w:type="dxa"/>
                  <w:bottom w:w="0" w:type="dxa"/>
                  <w:right w:w="0" w:type="dxa"/>
                </w:tblCellMar>
              </w:tblPrEx>
              <w:trPr>
                <w:trHeight w:val="285" w:hRule="atLeast"/>
              </w:trPr>
              <w:tc>
                <w:tcPr>
                  <w:tcW w:w="2584"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cs="宋体"/>
                      <w:color w:val="auto"/>
                      <w:sz w:val="24"/>
                      <w:szCs w:val="24"/>
                    </w:rPr>
                  </w:pPr>
                  <w:r>
                    <w:rPr>
                      <w:rFonts w:hint="eastAsia" w:ascii="宋体" w:hAnsi="宋体" w:cs="宋体"/>
                      <w:color w:val="auto"/>
                      <w:kern w:val="0"/>
                      <w:sz w:val="24"/>
                      <w:szCs w:val="24"/>
                    </w:rPr>
                    <w:t>公务用车购置费</w:t>
                  </w:r>
                </w:p>
              </w:tc>
              <w:tc>
                <w:tcPr>
                  <w:tcW w:w="2806"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cs="宋体"/>
                      <w:color w:val="auto"/>
                      <w:kern w:val="0"/>
                      <w:sz w:val="24"/>
                      <w:szCs w:val="24"/>
                    </w:rPr>
                  </w:pPr>
                  <w:r>
                    <w:rPr>
                      <w:rFonts w:ascii="宋体" w:hAnsi="宋体" w:cs="宋体"/>
                      <w:color w:val="auto"/>
                      <w:kern w:val="0"/>
                      <w:sz w:val="24"/>
                      <w:szCs w:val="24"/>
                    </w:rPr>
                    <w:t>13.88</w:t>
                  </w:r>
                </w:p>
              </w:tc>
              <w:tc>
                <w:tcPr>
                  <w:tcW w:w="3383"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cs="宋体"/>
                      <w:color w:val="auto"/>
                      <w:sz w:val="24"/>
                      <w:szCs w:val="24"/>
                    </w:rPr>
                  </w:pPr>
                  <w:r>
                    <w:rPr>
                      <w:rFonts w:ascii="宋体" w:hAnsi="宋体" w:cs="宋体"/>
                      <w:color w:val="auto"/>
                      <w:sz w:val="24"/>
                      <w:szCs w:val="24"/>
                    </w:rPr>
                    <w:t>13.88</w:t>
                  </w:r>
                </w:p>
              </w:tc>
            </w:tr>
            <w:tr>
              <w:tblPrEx>
                <w:tblCellMar>
                  <w:top w:w="0" w:type="dxa"/>
                  <w:left w:w="0" w:type="dxa"/>
                  <w:bottom w:w="0" w:type="dxa"/>
                  <w:right w:w="0" w:type="dxa"/>
                </w:tblCellMar>
              </w:tblPrEx>
              <w:trPr>
                <w:trHeight w:val="285" w:hRule="atLeast"/>
              </w:trPr>
              <w:tc>
                <w:tcPr>
                  <w:tcW w:w="2584"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cs="宋体"/>
                      <w:color w:val="auto"/>
                      <w:sz w:val="24"/>
                      <w:szCs w:val="24"/>
                    </w:rPr>
                  </w:pPr>
                  <w:r>
                    <w:rPr>
                      <w:rFonts w:hint="eastAsia" w:ascii="宋体" w:hAnsi="宋体" w:cs="宋体"/>
                      <w:color w:val="auto"/>
                      <w:kern w:val="0"/>
                      <w:sz w:val="24"/>
                      <w:szCs w:val="24"/>
                    </w:rPr>
                    <w:t>因公出国费</w:t>
                  </w:r>
                </w:p>
              </w:tc>
              <w:tc>
                <w:tcPr>
                  <w:tcW w:w="2806"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cs="宋体"/>
                      <w:color w:val="auto"/>
                      <w:kern w:val="0"/>
                      <w:sz w:val="24"/>
                      <w:szCs w:val="24"/>
                    </w:rPr>
                  </w:pPr>
                </w:p>
              </w:tc>
              <w:tc>
                <w:tcPr>
                  <w:tcW w:w="3383"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cs="宋体"/>
                      <w:color w:val="auto"/>
                      <w:sz w:val="24"/>
                      <w:szCs w:val="24"/>
                    </w:rPr>
                  </w:pPr>
                </w:p>
              </w:tc>
            </w:tr>
            <w:tr>
              <w:tblPrEx>
                <w:tblCellMar>
                  <w:top w:w="0" w:type="dxa"/>
                  <w:left w:w="0" w:type="dxa"/>
                  <w:bottom w:w="0" w:type="dxa"/>
                  <w:right w:w="0" w:type="dxa"/>
                </w:tblCellMar>
              </w:tblPrEx>
              <w:trPr>
                <w:trHeight w:val="285" w:hRule="atLeast"/>
              </w:trPr>
              <w:tc>
                <w:tcPr>
                  <w:tcW w:w="2584"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cs="宋体"/>
                      <w:color w:val="auto"/>
                      <w:sz w:val="24"/>
                      <w:szCs w:val="24"/>
                    </w:rPr>
                  </w:pPr>
                  <w:r>
                    <w:rPr>
                      <w:rFonts w:hint="eastAsia" w:ascii="宋体" w:hAnsi="宋体" w:cs="宋体"/>
                      <w:color w:val="auto"/>
                      <w:kern w:val="0"/>
                      <w:sz w:val="24"/>
                      <w:szCs w:val="24"/>
                    </w:rPr>
                    <w:t>合计</w:t>
                  </w:r>
                </w:p>
              </w:tc>
              <w:tc>
                <w:tcPr>
                  <w:tcW w:w="2806"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cs="宋体"/>
                      <w:color w:val="auto"/>
                      <w:kern w:val="0"/>
                      <w:sz w:val="24"/>
                      <w:szCs w:val="24"/>
                    </w:rPr>
                  </w:pPr>
                  <w:r>
                    <w:rPr>
                      <w:rFonts w:ascii="宋体" w:hAnsi="宋体" w:cs="宋体"/>
                      <w:color w:val="auto"/>
                      <w:kern w:val="0"/>
                      <w:sz w:val="24"/>
                      <w:szCs w:val="24"/>
                    </w:rPr>
                    <w:t>181.53</w:t>
                  </w:r>
                </w:p>
              </w:tc>
              <w:tc>
                <w:tcPr>
                  <w:tcW w:w="3383"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cs="宋体"/>
                      <w:color w:val="auto"/>
                      <w:sz w:val="24"/>
                      <w:szCs w:val="24"/>
                    </w:rPr>
                  </w:pPr>
                  <w:r>
                    <w:rPr>
                      <w:rFonts w:ascii="宋体" w:hAnsi="宋体" w:cs="宋体"/>
                      <w:color w:val="auto"/>
                      <w:sz w:val="24"/>
                      <w:szCs w:val="24"/>
                    </w:rPr>
                    <w:t>337.03</w:t>
                  </w:r>
                </w:p>
              </w:tc>
            </w:tr>
          </w:tbl>
          <w:p>
            <w:pPr>
              <w:spacing w:line="56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我局“三公”经费预算批复数据在政府门户网站进行了公示。本年度“三公”经费实际支出</w:t>
            </w:r>
            <w:r>
              <w:rPr>
                <w:rFonts w:ascii="仿宋_GB2312" w:hAnsi="仿宋_GB2312" w:eastAsia="仿宋_GB2312" w:cs="仿宋_GB2312"/>
                <w:bCs/>
                <w:color w:val="auto"/>
                <w:sz w:val="28"/>
                <w:szCs w:val="28"/>
              </w:rPr>
              <w:t>181.53</w:t>
            </w:r>
            <w:r>
              <w:rPr>
                <w:rFonts w:hint="eastAsia" w:ascii="仿宋_GB2312" w:hAnsi="仿宋_GB2312" w:eastAsia="仿宋_GB2312" w:cs="仿宋_GB2312"/>
                <w:bCs/>
                <w:color w:val="auto"/>
                <w:sz w:val="28"/>
                <w:szCs w:val="28"/>
              </w:rPr>
              <w:t>万元，比预算减少</w:t>
            </w:r>
            <w:r>
              <w:rPr>
                <w:rFonts w:ascii="仿宋_GB2312" w:hAnsi="仿宋_GB2312" w:eastAsia="仿宋_GB2312" w:cs="仿宋_GB2312"/>
                <w:bCs/>
                <w:color w:val="auto"/>
                <w:sz w:val="28"/>
                <w:szCs w:val="28"/>
              </w:rPr>
              <w:t>155.50</w:t>
            </w:r>
            <w:r>
              <w:rPr>
                <w:rFonts w:hint="eastAsia" w:ascii="仿宋_GB2312" w:hAnsi="仿宋_GB2312" w:eastAsia="仿宋_GB2312" w:cs="仿宋_GB2312"/>
                <w:bCs/>
                <w:color w:val="auto"/>
                <w:sz w:val="28"/>
                <w:szCs w:val="28"/>
              </w:rPr>
              <w:t>万元，下降</w:t>
            </w:r>
            <w:r>
              <w:rPr>
                <w:rFonts w:ascii="仿宋_GB2312" w:hAnsi="仿宋_GB2312" w:eastAsia="仿宋_GB2312" w:cs="仿宋_GB2312"/>
                <w:bCs/>
                <w:color w:val="auto"/>
                <w:sz w:val="28"/>
                <w:szCs w:val="28"/>
              </w:rPr>
              <w:t>46.14%</w:t>
            </w:r>
            <w:r>
              <w:rPr>
                <w:rFonts w:hint="eastAsia" w:ascii="仿宋_GB2312" w:hAnsi="仿宋_GB2312" w:eastAsia="仿宋_GB2312" w:cs="仿宋_GB2312"/>
                <w:bCs/>
                <w:color w:val="auto"/>
                <w:sz w:val="28"/>
                <w:szCs w:val="28"/>
              </w:rPr>
              <w:t>，总额控制良好。比上年</w:t>
            </w:r>
            <w:r>
              <w:rPr>
                <w:rFonts w:ascii="仿宋_GB2312" w:hAnsi="仿宋_GB2312" w:eastAsia="仿宋_GB2312" w:cs="仿宋_GB2312"/>
                <w:bCs/>
                <w:color w:val="auto"/>
                <w:sz w:val="28"/>
                <w:szCs w:val="28"/>
              </w:rPr>
              <w:t>221.47</w:t>
            </w:r>
            <w:r>
              <w:rPr>
                <w:rFonts w:hint="eastAsia" w:ascii="仿宋_GB2312" w:hAnsi="仿宋_GB2312" w:eastAsia="仿宋_GB2312" w:cs="仿宋_GB2312"/>
                <w:bCs/>
                <w:color w:val="auto"/>
                <w:sz w:val="28"/>
                <w:szCs w:val="28"/>
              </w:rPr>
              <w:t>万元减少</w:t>
            </w:r>
            <w:r>
              <w:rPr>
                <w:rFonts w:ascii="仿宋_GB2312" w:hAnsi="仿宋_GB2312" w:eastAsia="仿宋_GB2312" w:cs="仿宋_GB2312"/>
                <w:bCs/>
                <w:color w:val="auto"/>
                <w:sz w:val="28"/>
                <w:szCs w:val="28"/>
              </w:rPr>
              <w:t>39.94</w:t>
            </w:r>
            <w:r>
              <w:rPr>
                <w:rFonts w:hint="eastAsia" w:ascii="仿宋_GB2312" w:hAnsi="仿宋_GB2312" w:eastAsia="仿宋_GB2312" w:cs="仿宋_GB2312"/>
                <w:bCs/>
                <w:color w:val="auto"/>
                <w:sz w:val="28"/>
                <w:szCs w:val="28"/>
              </w:rPr>
              <w:t>万元，下降</w:t>
            </w:r>
            <w:r>
              <w:rPr>
                <w:rFonts w:ascii="仿宋_GB2312" w:hAnsi="仿宋_GB2312" w:eastAsia="仿宋_GB2312" w:cs="仿宋_GB2312"/>
                <w:bCs/>
                <w:color w:val="auto"/>
                <w:sz w:val="28"/>
                <w:szCs w:val="28"/>
              </w:rPr>
              <w:t>18.03%</w:t>
            </w:r>
            <w:r>
              <w:rPr>
                <w:rFonts w:hint="eastAsia" w:ascii="仿宋_GB2312" w:hAnsi="仿宋_GB2312" w:eastAsia="仿宋_GB2312" w:cs="仿宋_GB2312"/>
                <w:bCs/>
                <w:color w:val="auto"/>
                <w:sz w:val="28"/>
                <w:szCs w:val="28"/>
              </w:rPr>
              <w:t>，其中招待费较上年</w:t>
            </w:r>
            <w:r>
              <w:rPr>
                <w:rFonts w:ascii="仿宋_GB2312" w:hAnsi="仿宋_GB2312" w:eastAsia="仿宋_GB2312" w:cs="仿宋_GB2312"/>
                <w:bCs/>
                <w:color w:val="auto"/>
                <w:sz w:val="28"/>
                <w:szCs w:val="28"/>
              </w:rPr>
              <w:t>31.44</w:t>
            </w:r>
            <w:r>
              <w:rPr>
                <w:rFonts w:hint="eastAsia" w:ascii="仿宋_GB2312" w:hAnsi="仿宋_GB2312" w:eastAsia="仿宋_GB2312" w:cs="仿宋_GB2312"/>
                <w:bCs/>
                <w:color w:val="auto"/>
                <w:sz w:val="28"/>
                <w:szCs w:val="28"/>
              </w:rPr>
              <w:t>万元增加</w:t>
            </w:r>
            <w:r>
              <w:rPr>
                <w:rFonts w:ascii="仿宋_GB2312" w:hAnsi="仿宋_GB2312" w:eastAsia="仿宋_GB2312" w:cs="仿宋_GB2312"/>
                <w:bCs/>
                <w:color w:val="auto"/>
                <w:sz w:val="28"/>
                <w:szCs w:val="28"/>
              </w:rPr>
              <w:t>5.03</w:t>
            </w:r>
            <w:r>
              <w:rPr>
                <w:rFonts w:hint="eastAsia" w:ascii="仿宋_GB2312" w:hAnsi="仿宋_GB2312" w:eastAsia="仿宋_GB2312" w:cs="仿宋_GB2312"/>
                <w:bCs/>
                <w:color w:val="auto"/>
                <w:sz w:val="28"/>
                <w:szCs w:val="28"/>
              </w:rPr>
              <w:t>万元，上升</w:t>
            </w:r>
            <w:r>
              <w:rPr>
                <w:rFonts w:ascii="仿宋_GB2312" w:hAnsi="仿宋_GB2312" w:eastAsia="仿宋_GB2312" w:cs="仿宋_GB2312"/>
                <w:bCs/>
                <w:color w:val="auto"/>
                <w:sz w:val="28"/>
                <w:szCs w:val="28"/>
              </w:rPr>
              <w:t>15.99%</w:t>
            </w:r>
            <w:r>
              <w:rPr>
                <w:rFonts w:hint="eastAsia" w:ascii="仿宋_GB2312" w:hAnsi="仿宋_GB2312" w:eastAsia="仿宋_GB2312" w:cs="仿宋_GB2312"/>
                <w:bCs/>
                <w:color w:val="auto"/>
                <w:sz w:val="28"/>
                <w:szCs w:val="28"/>
              </w:rPr>
              <w:t>，公务车运行维护费较上年</w:t>
            </w:r>
            <w:r>
              <w:rPr>
                <w:rFonts w:ascii="仿宋_GB2312" w:hAnsi="仿宋_GB2312" w:eastAsia="仿宋_GB2312" w:cs="仿宋_GB2312"/>
                <w:bCs/>
                <w:color w:val="auto"/>
                <w:sz w:val="28"/>
                <w:szCs w:val="28"/>
              </w:rPr>
              <w:t>159.23</w:t>
            </w:r>
            <w:r>
              <w:rPr>
                <w:rFonts w:hint="eastAsia" w:ascii="仿宋_GB2312" w:hAnsi="仿宋_GB2312" w:eastAsia="仿宋_GB2312" w:cs="仿宋_GB2312"/>
                <w:bCs/>
                <w:color w:val="auto"/>
                <w:sz w:val="28"/>
                <w:szCs w:val="28"/>
              </w:rPr>
              <w:t>万元减少</w:t>
            </w:r>
            <w:r>
              <w:rPr>
                <w:rFonts w:ascii="仿宋_GB2312" w:hAnsi="仿宋_GB2312" w:eastAsia="仿宋_GB2312" w:cs="仿宋_GB2312"/>
                <w:bCs/>
                <w:color w:val="auto"/>
                <w:sz w:val="28"/>
                <w:szCs w:val="28"/>
              </w:rPr>
              <w:t>28.05</w:t>
            </w:r>
            <w:r>
              <w:rPr>
                <w:rFonts w:hint="eastAsia" w:ascii="仿宋_GB2312" w:hAnsi="仿宋_GB2312" w:eastAsia="仿宋_GB2312" w:cs="仿宋_GB2312"/>
                <w:bCs/>
                <w:color w:val="auto"/>
                <w:sz w:val="28"/>
                <w:szCs w:val="28"/>
              </w:rPr>
              <w:t>万元，下降</w:t>
            </w:r>
            <w:r>
              <w:rPr>
                <w:rFonts w:ascii="仿宋_GB2312" w:hAnsi="仿宋_GB2312" w:eastAsia="仿宋_GB2312" w:cs="仿宋_GB2312"/>
                <w:bCs/>
                <w:color w:val="auto"/>
                <w:sz w:val="28"/>
                <w:szCs w:val="28"/>
              </w:rPr>
              <w:t>17.62%</w:t>
            </w:r>
            <w:r>
              <w:rPr>
                <w:rFonts w:hint="eastAsia" w:ascii="仿宋_GB2312" w:hAnsi="仿宋_GB2312" w:eastAsia="仿宋_GB2312" w:cs="仿宋_GB2312"/>
                <w:bCs/>
                <w:color w:val="auto"/>
                <w:sz w:val="28"/>
                <w:szCs w:val="28"/>
              </w:rPr>
              <w:t>。公务用车购置费较上年</w:t>
            </w:r>
            <w:r>
              <w:rPr>
                <w:rFonts w:ascii="仿宋_GB2312" w:hAnsi="仿宋_GB2312" w:eastAsia="仿宋_GB2312" w:cs="仿宋_GB2312"/>
                <w:bCs/>
                <w:color w:val="auto"/>
                <w:sz w:val="28"/>
                <w:szCs w:val="28"/>
              </w:rPr>
              <w:t>24.90</w:t>
            </w:r>
            <w:r>
              <w:rPr>
                <w:rFonts w:hint="eastAsia" w:ascii="仿宋_GB2312" w:hAnsi="仿宋_GB2312" w:eastAsia="仿宋_GB2312" w:cs="仿宋_GB2312"/>
                <w:bCs/>
                <w:color w:val="auto"/>
                <w:sz w:val="28"/>
                <w:szCs w:val="28"/>
              </w:rPr>
              <w:t>增加</w:t>
            </w:r>
            <w:r>
              <w:rPr>
                <w:rFonts w:ascii="仿宋_GB2312" w:hAnsi="仿宋_GB2312" w:eastAsia="仿宋_GB2312" w:cs="仿宋_GB2312"/>
                <w:bCs/>
                <w:color w:val="auto"/>
                <w:sz w:val="28"/>
                <w:szCs w:val="28"/>
              </w:rPr>
              <w:t>11.02</w:t>
            </w:r>
            <w:r>
              <w:rPr>
                <w:rFonts w:hint="eastAsia" w:ascii="仿宋_GB2312" w:hAnsi="仿宋_GB2312" w:eastAsia="仿宋_GB2312" w:cs="仿宋_GB2312"/>
                <w:bCs/>
                <w:color w:val="auto"/>
                <w:sz w:val="28"/>
                <w:szCs w:val="28"/>
              </w:rPr>
              <w:t>万元，本年无出国费用，上述增加的费用均通过批准开支。公务接待费按岳阳楼分局未下划之前</w:t>
            </w:r>
            <w:r>
              <w:rPr>
                <w:rFonts w:ascii="仿宋_GB2312" w:hAnsi="仿宋_GB2312" w:eastAsia="仿宋_GB2312" w:cs="仿宋_GB2312"/>
                <w:bCs/>
                <w:color w:val="auto"/>
                <w:sz w:val="28"/>
                <w:szCs w:val="28"/>
              </w:rPr>
              <w:t>929</w:t>
            </w:r>
            <w:r>
              <w:rPr>
                <w:rFonts w:hint="eastAsia" w:ascii="仿宋_GB2312" w:hAnsi="仿宋_GB2312" w:eastAsia="仿宋_GB2312" w:cs="仿宋_GB2312"/>
                <w:bCs/>
                <w:color w:val="auto"/>
                <w:sz w:val="28"/>
                <w:szCs w:val="28"/>
              </w:rPr>
              <w:t>人计算，本年人均</w:t>
            </w:r>
            <w:r>
              <w:rPr>
                <w:rFonts w:ascii="仿宋_GB2312" w:hAnsi="仿宋_GB2312" w:eastAsia="仿宋_GB2312" w:cs="仿宋_GB2312"/>
                <w:bCs/>
                <w:color w:val="auto"/>
                <w:sz w:val="28"/>
                <w:szCs w:val="28"/>
              </w:rPr>
              <w:t>0.04</w:t>
            </w:r>
            <w:r>
              <w:rPr>
                <w:rFonts w:hint="eastAsia" w:ascii="仿宋_GB2312" w:hAnsi="仿宋_GB2312" w:eastAsia="仿宋_GB2312" w:cs="仿宋_GB2312"/>
                <w:bCs/>
                <w:color w:val="auto"/>
                <w:sz w:val="28"/>
                <w:szCs w:val="28"/>
              </w:rPr>
              <w:t>万元，在用公务车</w:t>
            </w:r>
            <w:r>
              <w:rPr>
                <w:rFonts w:ascii="仿宋_GB2312" w:hAnsi="仿宋_GB2312" w:eastAsia="仿宋_GB2312" w:cs="仿宋_GB2312"/>
                <w:bCs/>
                <w:color w:val="auto"/>
                <w:sz w:val="28"/>
                <w:szCs w:val="28"/>
              </w:rPr>
              <w:t>66</w:t>
            </w:r>
            <w:r>
              <w:rPr>
                <w:rFonts w:hint="eastAsia" w:ascii="仿宋_GB2312" w:hAnsi="仿宋_GB2312" w:eastAsia="仿宋_GB2312" w:cs="仿宋_GB2312"/>
                <w:bCs/>
                <w:color w:val="auto"/>
                <w:sz w:val="28"/>
                <w:szCs w:val="28"/>
              </w:rPr>
              <w:t>台，平均每台费用</w:t>
            </w:r>
            <w:r>
              <w:rPr>
                <w:rFonts w:ascii="仿宋_GB2312" w:hAnsi="仿宋_GB2312" w:eastAsia="仿宋_GB2312" w:cs="仿宋_GB2312"/>
                <w:bCs/>
                <w:color w:val="auto"/>
                <w:sz w:val="28"/>
                <w:szCs w:val="28"/>
              </w:rPr>
              <w:t>1.99</w:t>
            </w:r>
            <w:r>
              <w:rPr>
                <w:rFonts w:hint="eastAsia" w:ascii="仿宋_GB2312" w:hAnsi="仿宋_GB2312" w:eastAsia="仿宋_GB2312" w:cs="仿宋_GB2312"/>
                <w:bCs/>
                <w:color w:val="auto"/>
                <w:sz w:val="28"/>
                <w:szCs w:val="28"/>
              </w:rPr>
              <w:t>万元。</w:t>
            </w:r>
          </w:p>
          <w:p>
            <w:pPr>
              <w:spacing w:line="56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（二）专项支出</w:t>
            </w:r>
          </w:p>
          <w:p>
            <w:pPr>
              <w:spacing w:line="560" w:lineRule="exact"/>
              <w:ind w:firstLine="560" w:firstLineChars="200"/>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1</w:t>
            </w:r>
            <w:r>
              <w:rPr>
                <w:rFonts w:hint="eastAsia" w:ascii="仿宋_GB2312" w:hAnsi="仿宋_GB2312" w:eastAsia="仿宋_GB2312" w:cs="仿宋_GB2312"/>
                <w:bCs/>
                <w:color w:val="auto"/>
                <w:sz w:val="28"/>
                <w:szCs w:val="28"/>
              </w:rPr>
              <w:t>、专项资金安排落实、总投入等情况分析</w:t>
            </w:r>
          </w:p>
          <w:p>
            <w:pPr>
              <w:spacing w:line="56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本年度预算安排项目资金</w:t>
            </w:r>
            <w:r>
              <w:rPr>
                <w:rFonts w:ascii="仿宋_GB2312" w:hAnsi="仿宋_GB2312" w:eastAsia="仿宋_GB2312" w:cs="仿宋_GB2312"/>
                <w:bCs/>
                <w:color w:val="auto"/>
                <w:sz w:val="28"/>
                <w:szCs w:val="28"/>
              </w:rPr>
              <w:t>2152.14</w:t>
            </w:r>
            <w:r>
              <w:rPr>
                <w:rFonts w:hint="eastAsia" w:ascii="仿宋_GB2312" w:hAnsi="仿宋_GB2312" w:eastAsia="仿宋_GB2312" w:cs="仿宋_GB2312"/>
                <w:bCs/>
                <w:color w:val="auto"/>
                <w:sz w:val="28"/>
                <w:szCs w:val="28"/>
              </w:rPr>
              <w:t>万元，使用内容为：打击传销等市场监管执法</w:t>
            </w:r>
            <w:r>
              <w:rPr>
                <w:rFonts w:ascii="仿宋_GB2312" w:hAnsi="仿宋_GB2312" w:eastAsia="仿宋_GB2312" w:cs="仿宋_GB2312"/>
                <w:bCs/>
                <w:color w:val="auto"/>
                <w:sz w:val="28"/>
                <w:szCs w:val="28"/>
              </w:rPr>
              <w:t>699</w:t>
            </w:r>
            <w:r>
              <w:rPr>
                <w:rFonts w:hint="eastAsia" w:ascii="仿宋_GB2312" w:hAnsi="仿宋_GB2312" w:eastAsia="仿宋_GB2312" w:cs="仿宋_GB2312"/>
                <w:bCs/>
                <w:color w:val="auto"/>
                <w:sz w:val="28"/>
                <w:szCs w:val="28"/>
              </w:rPr>
              <w:t>万元，用于打击传销、反垄断、反不正当竞争等专项治理；非税收入征收成本</w:t>
            </w:r>
            <w:r>
              <w:rPr>
                <w:rFonts w:ascii="仿宋_GB2312" w:hAnsi="仿宋_GB2312" w:eastAsia="仿宋_GB2312" w:cs="仿宋_GB2312"/>
                <w:bCs/>
                <w:color w:val="auto"/>
                <w:sz w:val="28"/>
                <w:szCs w:val="28"/>
              </w:rPr>
              <w:t>441</w:t>
            </w:r>
            <w:r>
              <w:rPr>
                <w:rFonts w:hint="eastAsia" w:ascii="仿宋_GB2312" w:hAnsi="仿宋_GB2312" w:eastAsia="仿宋_GB2312" w:cs="仿宋_GB2312"/>
                <w:bCs/>
                <w:color w:val="auto"/>
                <w:sz w:val="28"/>
                <w:szCs w:val="28"/>
              </w:rPr>
              <w:t>万元，主要是非税收入征收过程中发生的办公、差旅等费用支出；办公设备购置等</w:t>
            </w:r>
            <w:r>
              <w:rPr>
                <w:rFonts w:ascii="仿宋_GB2312" w:hAnsi="仿宋_GB2312" w:eastAsia="仿宋_GB2312" w:cs="仿宋_GB2312"/>
                <w:bCs/>
                <w:color w:val="auto"/>
                <w:sz w:val="28"/>
                <w:szCs w:val="28"/>
              </w:rPr>
              <w:t>30</w:t>
            </w:r>
            <w:r>
              <w:rPr>
                <w:rFonts w:hint="eastAsia" w:ascii="仿宋_GB2312" w:hAnsi="仿宋_GB2312" w:eastAsia="仿宋_GB2312" w:cs="仿宋_GB2312"/>
                <w:bCs/>
                <w:color w:val="auto"/>
                <w:sz w:val="28"/>
                <w:szCs w:val="28"/>
              </w:rPr>
              <w:t>万元，主要用于落后设备的更新；商事制度改革、商标广告管理等市场主体管理专项</w:t>
            </w:r>
            <w:r>
              <w:rPr>
                <w:rFonts w:ascii="仿宋_GB2312" w:hAnsi="仿宋_GB2312" w:eastAsia="仿宋_GB2312" w:cs="仿宋_GB2312"/>
                <w:bCs/>
                <w:color w:val="auto"/>
                <w:sz w:val="28"/>
                <w:szCs w:val="28"/>
              </w:rPr>
              <w:t>269.80</w:t>
            </w:r>
            <w:r>
              <w:rPr>
                <w:rFonts w:hint="eastAsia" w:ascii="仿宋_GB2312" w:hAnsi="仿宋_GB2312" w:eastAsia="仿宋_GB2312" w:cs="仿宋_GB2312"/>
                <w:bCs/>
                <w:color w:val="auto"/>
                <w:sz w:val="28"/>
                <w:szCs w:val="28"/>
              </w:rPr>
              <w:t>万元，主要用于商事制度改革、信用监管、商标广告管理、农资成品油市场管理等；大型修缮</w:t>
            </w:r>
            <w:r>
              <w:rPr>
                <w:rFonts w:ascii="仿宋_GB2312" w:hAnsi="仿宋_GB2312" w:eastAsia="仿宋_GB2312" w:cs="仿宋_GB2312"/>
                <w:bCs/>
                <w:color w:val="auto"/>
                <w:sz w:val="28"/>
                <w:szCs w:val="28"/>
              </w:rPr>
              <w:t>122.15</w:t>
            </w:r>
            <w:r>
              <w:rPr>
                <w:rFonts w:hint="eastAsia" w:ascii="仿宋_GB2312" w:hAnsi="仿宋_GB2312" w:eastAsia="仿宋_GB2312" w:cs="仿宋_GB2312"/>
                <w:bCs/>
                <w:color w:val="auto"/>
                <w:sz w:val="28"/>
                <w:szCs w:val="28"/>
              </w:rPr>
              <w:t>万元，主要用于会议室改造等，质量基础专项</w:t>
            </w:r>
            <w:r>
              <w:rPr>
                <w:rFonts w:ascii="仿宋_GB2312" w:hAnsi="仿宋_GB2312" w:eastAsia="仿宋_GB2312" w:cs="仿宋_GB2312"/>
                <w:bCs/>
                <w:color w:val="auto"/>
                <w:sz w:val="28"/>
                <w:szCs w:val="28"/>
              </w:rPr>
              <w:t>288</w:t>
            </w:r>
            <w:r>
              <w:rPr>
                <w:rFonts w:hint="eastAsia" w:ascii="仿宋_GB2312" w:hAnsi="仿宋_GB2312" w:eastAsia="仿宋_GB2312" w:cs="仿宋_GB2312"/>
                <w:bCs/>
                <w:color w:val="auto"/>
                <w:sz w:val="28"/>
                <w:szCs w:val="28"/>
              </w:rPr>
              <w:t>万元，主要用于重点工业产品食品监督抽查、强制检定、政府质量考核工作、政府质量考核工作、标准化、专项打假及投诉处理、纤维及制品质量监督、其他民生领域质量监督、法人库及条码管理等质量基础管理，特种设备安全监管专项</w:t>
            </w:r>
            <w:r>
              <w:rPr>
                <w:rFonts w:ascii="仿宋_GB2312" w:hAnsi="仿宋_GB2312" w:eastAsia="仿宋_GB2312" w:cs="仿宋_GB2312"/>
                <w:bCs/>
                <w:color w:val="auto"/>
                <w:sz w:val="28"/>
                <w:szCs w:val="28"/>
              </w:rPr>
              <w:t>27</w:t>
            </w:r>
            <w:r>
              <w:rPr>
                <w:rFonts w:hint="eastAsia" w:ascii="仿宋_GB2312" w:hAnsi="仿宋_GB2312" w:eastAsia="仿宋_GB2312" w:cs="仿宋_GB2312"/>
                <w:bCs/>
                <w:color w:val="auto"/>
                <w:sz w:val="28"/>
                <w:szCs w:val="28"/>
              </w:rPr>
              <w:t>万元，主要是负责生产、检验、重点使用单位现场检查，县（市）区督查、考核、抽查、行政许可证件的发放，宣传教育培训等；食品药品安全监管</w:t>
            </w:r>
            <w:r>
              <w:rPr>
                <w:rFonts w:ascii="仿宋_GB2312" w:hAnsi="仿宋_GB2312" w:eastAsia="仿宋_GB2312" w:cs="仿宋_GB2312"/>
                <w:bCs/>
                <w:color w:val="auto"/>
                <w:sz w:val="28"/>
                <w:szCs w:val="28"/>
              </w:rPr>
              <w:t>275.19</w:t>
            </w:r>
            <w:r>
              <w:rPr>
                <w:rFonts w:hint="eastAsia" w:ascii="仿宋_GB2312" w:hAnsi="仿宋_GB2312" w:eastAsia="仿宋_GB2312" w:cs="仿宋_GB2312"/>
                <w:bCs/>
                <w:color w:val="auto"/>
                <w:sz w:val="28"/>
                <w:szCs w:val="28"/>
              </w:rPr>
              <w:t>万元主要用于食品药品安全监管、抽查等。</w:t>
            </w:r>
          </w:p>
          <w:p>
            <w:pPr>
              <w:numPr>
                <w:ilvl w:val="0"/>
                <w:numId w:val="4"/>
              </w:numPr>
              <w:spacing w:line="56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专项资金实际使用情况分析</w:t>
            </w:r>
          </w:p>
          <w:p>
            <w:pPr>
              <w:spacing w:line="56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本年度实际投入专项资金</w:t>
            </w:r>
            <w:r>
              <w:rPr>
                <w:rFonts w:ascii="仿宋_GB2312" w:hAnsi="仿宋_GB2312" w:eastAsia="仿宋_GB2312" w:cs="仿宋_GB2312"/>
                <w:bCs/>
                <w:color w:val="auto"/>
                <w:sz w:val="28"/>
                <w:szCs w:val="28"/>
              </w:rPr>
              <w:t>5612.47</w:t>
            </w:r>
            <w:r>
              <w:rPr>
                <w:rFonts w:hint="eastAsia" w:ascii="仿宋_GB2312" w:hAnsi="仿宋_GB2312" w:eastAsia="仿宋_GB2312" w:cs="仿宋_GB2312"/>
                <w:bCs/>
                <w:color w:val="auto"/>
                <w:sz w:val="28"/>
                <w:szCs w:val="28"/>
              </w:rPr>
              <w:t>万元，其中上年结转</w:t>
            </w:r>
            <w:r>
              <w:rPr>
                <w:rFonts w:ascii="仿宋_GB2312" w:hAnsi="仿宋_GB2312" w:eastAsia="仿宋_GB2312" w:cs="仿宋_GB2312"/>
                <w:bCs/>
                <w:color w:val="auto"/>
                <w:sz w:val="28"/>
                <w:szCs w:val="28"/>
              </w:rPr>
              <w:t>2347.43</w:t>
            </w:r>
            <w:r>
              <w:rPr>
                <w:rFonts w:hint="eastAsia" w:ascii="仿宋_GB2312" w:hAnsi="仿宋_GB2312" w:eastAsia="仿宋_GB2312" w:cs="仿宋_GB2312"/>
                <w:bCs/>
                <w:color w:val="auto"/>
                <w:sz w:val="28"/>
                <w:szCs w:val="28"/>
              </w:rPr>
              <w:t>万元，本年财政拨款</w:t>
            </w:r>
            <w:r>
              <w:rPr>
                <w:rFonts w:ascii="仿宋_GB2312" w:hAnsi="仿宋_GB2312" w:eastAsia="仿宋_GB2312" w:cs="仿宋_GB2312"/>
                <w:bCs/>
                <w:color w:val="auto"/>
                <w:sz w:val="28"/>
                <w:szCs w:val="28"/>
              </w:rPr>
              <w:t>4231.24</w:t>
            </w:r>
            <w:r>
              <w:rPr>
                <w:rFonts w:hint="eastAsia" w:ascii="仿宋_GB2312" w:hAnsi="仿宋_GB2312" w:eastAsia="仿宋_GB2312" w:cs="仿宋_GB2312"/>
                <w:bCs/>
                <w:color w:val="auto"/>
                <w:sz w:val="28"/>
                <w:szCs w:val="28"/>
              </w:rPr>
              <w:t>万元（含省财政专项资金），非本级财政资金</w:t>
            </w:r>
            <w:r>
              <w:rPr>
                <w:rFonts w:ascii="仿宋_GB2312" w:hAnsi="仿宋_GB2312" w:eastAsia="仿宋_GB2312" w:cs="仿宋_GB2312"/>
                <w:bCs/>
                <w:color w:val="auto"/>
                <w:sz w:val="28"/>
                <w:szCs w:val="28"/>
              </w:rPr>
              <w:t>606.40</w:t>
            </w:r>
            <w:r>
              <w:rPr>
                <w:rFonts w:hint="eastAsia" w:ascii="仿宋_GB2312" w:hAnsi="仿宋_GB2312" w:eastAsia="仿宋_GB2312" w:cs="仿宋_GB2312"/>
                <w:bCs/>
                <w:color w:val="auto"/>
                <w:sz w:val="28"/>
                <w:szCs w:val="28"/>
              </w:rPr>
              <w:t>万元。专项资金支出</w:t>
            </w:r>
            <w:r>
              <w:rPr>
                <w:rFonts w:ascii="仿宋_GB2312" w:hAnsi="仿宋_GB2312" w:eastAsia="仿宋_GB2312" w:cs="仿宋_GB2312"/>
                <w:bCs/>
                <w:color w:val="auto"/>
                <w:sz w:val="28"/>
                <w:szCs w:val="28"/>
              </w:rPr>
              <w:t>5612.47</w:t>
            </w:r>
            <w:r>
              <w:rPr>
                <w:rFonts w:hint="eastAsia" w:ascii="仿宋_GB2312" w:hAnsi="仿宋_GB2312" w:eastAsia="仿宋_GB2312" w:cs="仿宋_GB2312"/>
                <w:bCs/>
                <w:color w:val="auto"/>
                <w:sz w:val="28"/>
                <w:szCs w:val="28"/>
              </w:rPr>
              <w:t>万元，结余</w:t>
            </w:r>
            <w:r>
              <w:rPr>
                <w:rFonts w:ascii="仿宋_GB2312" w:hAnsi="仿宋_GB2312" w:eastAsia="仿宋_GB2312" w:cs="仿宋_GB2312"/>
                <w:bCs/>
                <w:color w:val="auto"/>
                <w:sz w:val="28"/>
                <w:szCs w:val="28"/>
              </w:rPr>
              <w:t>1572.60</w:t>
            </w:r>
            <w:r>
              <w:rPr>
                <w:rFonts w:hint="eastAsia" w:ascii="仿宋_GB2312" w:hAnsi="仿宋_GB2312" w:eastAsia="仿宋_GB2312" w:cs="仿宋_GB2312"/>
                <w:bCs/>
                <w:color w:val="auto"/>
                <w:sz w:val="28"/>
                <w:szCs w:val="28"/>
              </w:rPr>
              <w:t>万元，主要原因一是部分项目是跨年项目，二是资金下达晚致使一些项目需要跨年度执行。</w:t>
            </w:r>
          </w:p>
          <w:p>
            <w:pPr>
              <w:spacing w:line="560" w:lineRule="exact"/>
              <w:ind w:firstLine="560" w:firstLineChars="200"/>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3</w:t>
            </w:r>
            <w:r>
              <w:rPr>
                <w:rFonts w:hint="eastAsia" w:ascii="仿宋_GB2312" w:hAnsi="仿宋_GB2312" w:eastAsia="仿宋_GB2312" w:cs="仿宋_GB2312"/>
                <w:bCs/>
                <w:color w:val="auto"/>
                <w:sz w:val="28"/>
                <w:szCs w:val="28"/>
              </w:rPr>
              <w:t>、专项资金管理情况分析</w:t>
            </w:r>
          </w:p>
          <w:p>
            <w:pPr>
              <w:widowControl/>
              <w:jc w:val="left"/>
              <w:rPr>
                <w:rFonts w:ascii="sans-serif" w:hAnsi="sans-serif" w:eastAsia="Times New Roman" w:cs="sans-serif"/>
                <w:color w:val="auto"/>
                <w:sz w:val="24"/>
                <w:szCs w:val="24"/>
              </w:rPr>
            </w:pPr>
            <w:r>
              <w:rPr>
                <w:rFonts w:hint="eastAsia" w:ascii="仿宋_GB2312" w:hAnsi="仿宋_GB2312" w:eastAsia="仿宋_GB2312" w:cs="仿宋_GB2312"/>
                <w:bCs/>
                <w:color w:val="auto"/>
                <w:sz w:val="28"/>
                <w:szCs w:val="28"/>
              </w:rPr>
              <w:t>我局专项资金来源包括年初预算安排、财政代编预算以及省级财政追加，专项资金使用遵循专款专用、统筹兼顾、突出重点、追踪问效的原则</w:t>
            </w:r>
            <w:r>
              <w:rPr>
                <w:rFonts w:ascii="仿宋_GB2312" w:hAnsi="仿宋_GB2312" w:eastAsia="仿宋_GB2312" w:cs="仿宋_GB2312"/>
                <w:bCs/>
                <w:color w:val="auto"/>
                <w:sz w:val="28"/>
                <w:szCs w:val="28"/>
              </w:rPr>
              <w:t>,</w:t>
            </w:r>
            <w:r>
              <w:rPr>
                <w:rFonts w:hint="eastAsia" w:ascii="仿宋_GB2312" w:hAnsi="仿宋_GB2312" w:eastAsia="仿宋_GB2312" w:cs="仿宋_GB2312"/>
                <w:bCs/>
                <w:color w:val="auto"/>
                <w:sz w:val="28"/>
                <w:szCs w:val="28"/>
              </w:rPr>
              <w:t>首先是根据专项资金用途对各专项资金的使用作安排和责任分解，拨付时需提供经审核后的资金使用申请和计划，资金使用后跟踪监控及问效，资金使用效果是下年度资金安排的重要依据。</w:t>
            </w:r>
          </w:p>
          <w:p>
            <w:pPr>
              <w:spacing w:line="56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rPr>
              <w:t>三、部门（单位）专项组织实施情况</w:t>
            </w:r>
          </w:p>
          <w:p>
            <w:pPr>
              <w:spacing w:line="56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（一）专项组织情况分析</w:t>
            </w:r>
          </w:p>
          <w:p>
            <w:pPr>
              <w:widowControl/>
              <w:spacing w:line="480" w:lineRule="auto"/>
              <w:ind w:firstLine="560" w:firstLineChars="200"/>
              <w:rPr>
                <w:rFonts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2020</w:t>
            </w:r>
            <w:r>
              <w:rPr>
                <w:rFonts w:hint="eastAsia" w:ascii="仿宋_GB2312" w:hAnsi="仿宋_GB2312" w:eastAsia="仿宋_GB2312" w:cs="仿宋_GB2312"/>
                <w:color w:val="auto"/>
                <w:kern w:val="0"/>
                <w:sz w:val="28"/>
                <w:szCs w:val="28"/>
              </w:rPr>
              <w:t>年，我局建立健全了内部控制制度，资金支出中涉及的政府采购事项，我局严格按照内控制度中的政府采购制度流程执行，同时严格合同的签订，落实采购物资和服务的验收，严格做好资金支付的审批审核。</w:t>
            </w:r>
          </w:p>
          <w:p>
            <w:pPr>
              <w:numPr>
                <w:ilvl w:val="0"/>
                <w:numId w:val="5"/>
              </w:numPr>
              <w:spacing w:line="56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专项管理情况分析</w:t>
            </w:r>
          </w:p>
          <w:p>
            <w:pPr>
              <w:widowControl/>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有内部财务管理制度且得到有效执行；支出符合国家财经法规和财务管理制度规定以及有关专项资金的管理办法的规定，资金使用有完整的审批程序和手续；资金使用无截留、挤占、挪用、虚列支出等情况</w:t>
            </w:r>
          </w:p>
          <w:p>
            <w:pPr>
              <w:widowControl/>
              <w:ind w:firstLine="560" w:firstLineChars="200"/>
              <w:jc w:val="left"/>
              <w:rPr>
                <w:rFonts w:ascii="黑体" w:hAnsi="黑体" w:eastAsia="黑体" w:cs="黑体"/>
                <w:bCs/>
                <w:color w:val="auto"/>
                <w:sz w:val="28"/>
                <w:szCs w:val="28"/>
              </w:rPr>
            </w:pPr>
            <w:r>
              <w:rPr>
                <w:rFonts w:hint="eastAsia" w:ascii="黑体" w:hAnsi="黑体" w:eastAsia="黑体" w:cs="黑体"/>
                <w:bCs/>
                <w:color w:val="auto"/>
                <w:sz w:val="28"/>
                <w:szCs w:val="28"/>
              </w:rPr>
              <w:t>四、部门（单位）整体支出绩效情况</w:t>
            </w:r>
          </w:p>
          <w:p>
            <w:pPr>
              <w:widowControl/>
              <w:spacing w:line="480" w:lineRule="auto"/>
              <w:ind w:firstLine="560" w:firstLineChars="200"/>
              <w:rPr>
                <w:rFonts w:ascii="仿宋_GB2312" w:hAnsi="仿宋_GB2312" w:eastAsia="仿宋_GB2312" w:cs="仿宋_GB2312"/>
                <w:color w:val="auto"/>
                <w:kern w:val="0"/>
                <w:sz w:val="28"/>
                <w:szCs w:val="28"/>
              </w:rPr>
            </w:pPr>
            <w:r>
              <w:rPr>
                <w:rFonts w:ascii="宋体" w:hAnsi="宋体" w:cs="宋体"/>
                <w:bCs/>
                <w:color w:val="auto"/>
                <w:sz w:val="28"/>
                <w:szCs w:val="28"/>
              </w:rPr>
              <w:t>2</w:t>
            </w:r>
            <w:r>
              <w:rPr>
                <w:rFonts w:ascii="仿宋_GB2312" w:hAnsi="仿宋_GB2312" w:eastAsia="仿宋_GB2312" w:cs="仿宋_GB2312"/>
                <w:bCs/>
                <w:color w:val="auto"/>
                <w:sz w:val="28"/>
                <w:szCs w:val="28"/>
              </w:rPr>
              <w:t>020</w:t>
            </w:r>
            <w:r>
              <w:rPr>
                <w:rFonts w:hint="eastAsia" w:ascii="仿宋_GB2312" w:hAnsi="仿宋_GB2312" w:eastAsia="仿宋_GB2312" w:cs="仿宋_GB2312"/>
                <w:bCs/>
                <w:color w:val="auto"/>
                <w:sz w:val="28"/>
                <w:szCs w:val="28"/>
              </w:rPr>
              <w:t>年，</w:t>
            </w:r>
            <w:r>
              <w:rPr>
                <w:rFonts w:hint="eastAsia" w:ascii="仿宋_GB2312" w:hAnsi="仿宋_GB2312" w:eastAsia="仿宋_GB2312" w:cs="仿宋_GB2312"/>
                <w:color w:val="auto"/>
                <w:sz w:val="28"/>
                <w:szCs w:val="28"/>
              </w:rPr>
              <w:t>在市委市政府和省市场监管局的坚强领导和精准指导下，我局根据</w:t>
            </w:r>
            <w:r>
              <w:rPr>
                <w:rFonts w:hint="eastAsia" w:ascii="仿宋_GB2312" w:hAnsi="仿宋_GB2312" w:eastAsia="仿宋_GB2312" w:cs="仿宋_GB2312"/>
                <w:color w:val="auto"/>
                <w:kern w:val="0"/>
                <w:sz w:val="28"/>
                <w:szCs w:val="28"/>
              </w:rPr>
              <w:t>年初工作规划和重点性工作，通过加强预算收支管理，建立健全内部管理制度，梳理内部管理流程，部门整体支出管理情况得到了提升，部门整体支出绩效情况如下：</w:t>
            </w:r>
          </w:p>
          <w:p>
            <w:pPr>
              <w:widowControl/>
              <w:spacing w:line="480" w:lineRule="auto"/>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（一）经济性评价方面</w:t>
            </w:r>
          </w:p>
          <w:p>
            <w:pPr>
              <w:widowControl/>
              <w:spacing w:line="480" w:lineRule="auto"/>
              <w:ind w:firstLine="560" w:firstLineChars="200"/>
              <w:rPr>
                <w:rFonts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1</w:t>
            </w:r>
            <w:r>
              <w:rPr>
                <w:rFonts w:hint="eastAsia" w:ascii="仿宋_GB2312" w:hAnsi="仿宋_GB2312" w:eastAsia="仿宋_GB2312" w:cs="仿宋_GB2312"/>
                <w:color w:val="auto"/>
                <w:kern w:val="0"/>
                <w:sz w:val="28"/>
                <w:szCs w:val="28"/>
              </w:rPr>
              <w:t>、本年预算配置控制较好，财政供养人员控制在预算编制以内，实有人数控制在人员编制数以内，“三公”经费较上年及预算大幅减少。</w:t>
            </w:r>
          </w:p>
          <w:p>
            <w:pPr>
              <w:widowControl/>
              <w:spacing w:line="480" w:lineRule="auto"/>
              <w:ind w:firstLine="560" w:firstLineChars="200"/>
              <w:rPr>
                <w:rFonts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2</w:t>
            </w:r>
            <w:r>
              <w:rPr>
                <w:rFonts w:hint="eastAsia" w:ascii="仿宋_GB2312" w:hAnsi="仿宋_GB2312" w:eastAsia="仿宋_GB2312" w:cs="仿宋_GB2312"/>
                <w:color w:val="auto"/>
                <w:kern w:val="0"/>
                <w:sz w:val="28"/>
                <w:szCs w:val="28"/>
              </w:rPr>
              <w:t>、预算执行方面，除非本级财政追加专项资金、本级财政追加政策性工资提标、绩效、综治奖励、非税超收资金外，支出总额控制在预算总额以内，不存在截留或挤占专项资金情况。</w:t>
            </w:r>
          </w:p>
          <w:p>
            <w:pPr>
              <w:widowControl/>
              <w:spacing w:line="480" w:lineRule="auto"/>
              <w:ind w:firstLine="560" w:firstLineChars="200"/>
              <w:rPr>
                <w:rFonts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3</w:t>
            </w:r>
            <w:r>
              <w:rPr>
                <w:rFonts w:hint="eastAsia" w:ascii="仿宋_GB2312" w:hAnsi="仿宋_GB2312" w:eastAsia="仿宋_GB2312" w:cs="仿宋_GB2312"/>
                <w:color w:val="auto"/>
                <w:kern w:val="0"/>
                <w:sz w:val="28"/>
                <w:szCs w:val="28"/>
              </w:rPr>
              <w:t>、预算管理方面，制度执行总体较为有效，仍需进一步强化；资金使用管理需进一步加强。</w:t>
            </w:r>
          </w:p>
          <w:p>
            <w:pPr>
              <w:widowControl/>
              <w:spacing w:line="480" w:lineRule="auto"/>
              <w:ind w:firstLine="560" w:firstLineChars="200"/>
              <w:rPr>
                <w:rFonts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4</w:t>
            </w:r>
            <w:r>
              <w:rPr>
                <w:rFonts w:hint="eastAsia" w:ascii="仿宋_GB2312" w:hAnsi="仿宋_GB2312" w:eastAsia="仿宋_GB2312" w:cs="仿宋_GB2312"/>
                <w:color w:val="auto"/>
                <w:kern w:val="0"/>
                <w:sz w:val="28"/>
                <w:szCs w:val="28"/>
              </w:rPr>
              <w:t>、资产管理方面建立了资产管理制度，定期进行了盘点和资产清理，总体执行较好。</w:t>
            </w:r>
          </w:p>
          <w:p>
            <w:pPr>
              <w:widowControl/>
              <w:spacing w:line="480" w:lineRule="auto"/>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根据部门整体支出绩效评价指标体系，本局</w:t>
            </w:r>
            <w:r>
              <w:rPr>
                <w:rFonts w:ascii="仿宋_GB2312" w:hAnsi="仿宋_GB2312" w:eastAsia="仿宋_GB2312" w:cs="仿宋_GB2312"/>
                <w:color w:val="auto"/>
                <w:kern w:val="0"/>
                <w:sz w:val="28"/>
                <w:szCs w:val="28"/>
              </w:rPr>
              <w:t>2020</w:t>
            </w:r>
            <w:r>
              <w:rPr>
                <w:rFonts w:hint="eastAsia" w:ascii="仿宋_GB2312" w:hAnsi="仿宋_GB2312" w:eastAsia="仿宋_GB2312" w:cs="仿宋_GB2312"/>
                <w:color w:val="auto"/>
                <w:kern w:val="0"/>
                <w:sz w:val="28"/>
                <w:szCs w:val="28"/>
              </w:rPr>
              <w:t>年度评价得分</w:t>
            </w:r>
            <w:r>
              <w:rPr>
                <w:rFonts w:ascii="仿宋_GB2312" w:hAnsi="仿宋_GB2312" w:eastAsia="仿宋_GB2312" w:cs="仿宋_GB2312"/>
                <w:color w:val="auto"/>
                <w:kern w:val="0"/>
                <w:sz w:val="28"/>
                <w:szCs w:val="28"/>
              </w:rPr>
              <w:t>95</w:t>
            </w:r>
            <w:r>
              <w:rPr>
                <w:rFonts w:hint="eastAsia" w:ascii="仿宋_GB2312" w:hAnsi="仿宋_GB2312" w:eastAsia="仿宋_GB2312" w:cs="仿宋_GB2312"/>
                <w:color w:val="auto"/>
                <w:kern w:val="0"/>
                <w:sz w:val="28"/>
                <w:szCs w:val="28"/>
              </w:rPr>
              <w:t>分。</w:t>
            </w:r>
          </w:p>
          <w:p>
            <w:pPr>
              <w:widowControl/>
              <w:spacing w:line="480" w:lineRule="auto"/>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（二）效率性评价和有效性评价</w:t>
            </w:r>
          </w:p>
          <w:p>
            <w:pPr>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今年以来，在省市场监管局坚强领导下，岳阳市市场监管局认真贯彻习近平总书记重要指示精神，落实“五有”要求，做到有政治站位、有人民情怀、有责任担当、有纪律规矩、有表率作用，推改革、抓质量、守底线、强监管、牢基础。弘扬“店小二”精神，全面推进“六稳”“六保”，奋力夺取疫情防控和经济社会发展“双胜利”。</w:t>
            </w:r>
          </w:p>
          <w:p>
            <w:pPr>
              <w:spacing w:line="58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rPr>
              <w:t>、在省市场监管局</w:t>
            </w:r>
            <w:r>
              <w:rPr>
                <w:rFonts w:ascii="仿宋_GB2312" w:hAnsi="仿宋_GB2312" w:eastAsia="仿宋_GB2312" w:cs="仿宋_GB2312"/>
                <w:color w:val="auto"/>
                <w:sz w:val="28"/>
                <w:szCs w:val="28"/>
              </w:rPr>
              <w:t>2020</w:t>
            </w:r>
            <w:r>
              <w:rPr>
                <w:rFonts w:hint="eastAsia" w:ascii="仿宋_GB2312" w:hAnsi="仿宋_GB2312" w:eastAsia="仿宋_GB2312" w:cs="仿宋_GB2312"/>
                <w:color w:val="auto"/>
                <w:sz w:val="28"/>
                <w:szCs w:val="28"/>
              </w:rPr>
              <w:t>年度真抓实干督查激励拟向省政府推荐名单中，我市位居第二。</w:t>
            </w:r>
          </w:p>
          <w:p>
            <w:pPr>
              <w:spacing w:line="58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rPr>
              <w:t>、推进“一件事一次办”，在全省率先实现企业开办时间只需</w:t>
            </w:r>
            <w:r>
              <w:rPr>
                <w:rFonts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rPr>
              <w:t>天，企业设立登记只需</w:t>
            </w:r>
            <w:r>
              <w:rPr>
                <w:rFonts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rPr>
              <w:t>个小时。企业开办从窗口正式受理起，税务、公章、社保、住房公积金、银行等业务穿插并联办理，企业领取营业执照在</w:t>
            </w:r>
            <w:r>
              <w:rPr>
                <w:rFonts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rPr>
              <w:t>小时内办结，企业开办各环节合计按工作时间</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8</w:t>
            </w:r>
            <w:r>
              <w:rPr>
                <w:rFonts w:hint="eastAsia" w:ascii="仿宋_GB2312" w:hAnsi="仿宋_GB2312" w:eastAsia="仿宋_GB2312" w:cs="仿宋_GB2312"/>
                <w:color w:val="auto"/>
                <w:sz w:val="28"/>
                <w:szCs w:val="28"/>
              </w:rPr>
              <w:t>小时</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±实现</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°一天办结</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w:t>
            </w:r>
          </w:p>
          <w:p>
            <w:pPr>
              <w:spacing w:line="58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rPr>
              <w:t>、在全省率先对</w:t>
            </w:r>
            <w:r>
              <w:rPr>
                <w:rFonts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rPr>
              <w:t>家学校跑道和农资生产企业开展</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°质量体检进企业</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±活动，出具质量体检报告，指导督促重点企业提升质量安全管理水平。</w:t>
            </w:r>
          </w:p>
          <w:p>
            <w:pPr>
              <w:spacing w:line="58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rPr>
              <w:t>、在省质量强省政府质量工作考核通报中，岳阳市消费品质量合格率</w:t>
            </w:r>
            <w:r>
              <w:rPr>
                <w:rFonts w:ascii="仿宋_GB2312" w:hAnsi="仿宋_GB2312" w:eastAsia="仿宋_GB2312" w:cs="仿宋_GB2312"/>
                <w:color w:val="auto"/>
                <w:sz w:val="28"/>
                <w:szCs w:val="28"/>
              </w:rPr>
              <w:t>96.16%</w:t>
            </w:r>
            <w:r>
              <w:rPr>
                <w:rFonts w:hint="eastAsia" w:ascii="仿宋_GB2312" w:hAnsi="仿宋_GB2312" w:eastAsia="仿宋_GB2312" w:cs="仿宋_GB2312"/>
                <w:color w:val="auto"/>
                <w:sz w:val="28"/>
                <w:szCs w:val="28"/>
              </w:rPr>
              <w:t>，比全省平均数高</w:t>
            </w:r>
            <w:r>
              <w:rPr>
                <w:rFonts w:ascii="仿宋_GB2312" w:hAnsi="仿宋_GB2312" w:eastAsia="仿宋_GB2312" w:cs="仿宋_GB2312"/>
                <w:color w:val="auto"/>
                <w:sz w:val="28"/>
                <w:szCs w:val="28"/>
              </w:rPr>
              <w:t>4.21%</w:t>
            </w:r>
            <w:r>
              <w:rPr>
                <w:rFonts w:hint="eastAsia" w:ascii="仿宋_GB2312" w:hAnsi="仿宋_GB2312" w:eastAsia="仿宋_GB2312" w:cs="仿宋_GB2312"/>
                <w:color w:val="auto"/>
                <w:sz w:val="28"/>
                <w:szCs w:val="28"/>
              </w:rPr>
              <w:t>，领跑全省；政府质量工作满意度调查得分</w:t>
            </w:r>
            <w:r>
              <w:rPr>
                <w:rFonts w:ascii="仿宋_GB2312" w:hAnsi="仿宋_GB2312" w:eastAsia="仿宋_GB2312" w:cs="仿宋_GB2312"/>
                <w:color w:val="auto"/>
                <w:sz w:val="28"/>
                <w:szCs w:val="28"/>
              </w:rPr>
              <w:t>74.22</w:t>
            </w:r>
            <w:r>
              <w:rPr>
                <w:rFonts w:hint="eastAsia" w:ascii="仿宋_GB2312" w:hAnsi="仿宋_GB2312" w:eastAsia="仿宋_GB2312" w:cs="仿宋_GB2312"/>
                <w:color w:val="auto"/>
                <w:sz w:val="28"/>
                <w:szCs w:val="28"/>
              </w:rPr>
              <w:t>，排名全省第二。平江县开设全国首个“辣条专业班”培训，首开辣条专业课，为辣条行业输送人才。</w:t>
            </w:r>
          </w:p>
          <w:p>
            <w:pPr>
              <w:spacing w:line="58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rPr>
              <w:t>、有</w:t>
            </w:r>
            <w:r>
              <w:rPr>
                <w:rFonts w:ascii="仿宋_GB2312" w:hAnsi="仿宋_GB2312" w:eastAsia="仿宋_GB2312" w:cs="仿宋_GB2312"/>
                <w:color w:val="auto"/>
                <w:sz w:val="28"/>
                <w:szCs w:val="28"/>
              </w:rPr>
              <w:t>10</w:t>
            </w:r>
            <w:r>
              <w:rPr>
                <w:rFonts w:hint="eastAsia" w:ascii="仿宋_GB2312" w:hAnsi="仿宋_GB2312" w:eastAsia="仿宋_GB2312" w:cs="仿宋_GB2312"/>
                <w:color w:val="auto"/>
                <w:sz w:val="28"/>
                <w:szCs w:val="28"/>
              </w:rPr>
              <w:t>家知识产权服务机构与各县市区市场监管部门正式签署共建知识产权综合服务平台协议，在全省率先实现知识产权综合服务平台全覆盖。</w:t>
            </w:r>
          </w:p>
          <w:p>
            <w:pPr>
              <w:spacing w:line="58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6</w:t>
            </w:r>
            <w:r>
              <w:rPr>
                <w:rFonts w:hint="eastAsia" w:ascii="仿宋_GB2312" w:hAnsi="仿宋_GB2312" w:eastAsia="仿宋_GB2312" w:cs="仿宋_GB2312"/>
                <w:color w:val="auto"/>
                <w:sz w:val="28"/>
                <w:szCs w:val="28"/>
              </w:rPr>
              <w:t>、在全省率先运用信息化手段，将食品安全监管搬上互联网，初步构建了“阳光监管、透明共治”新模式。十月底，岳阳县、华容县通过了省级食品安全示范县市级初评，汨罗市成功列入第三批省级食品安全示范县名单。</w:t>
            </w:r>
          </w:p>
          <w:p>
            <w:pPr>
              <w:spacing w:line="58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7</w:t>
            </w:r>
            <w:r>
              <w:rPr>
                <w:rFonts w:hint="eastAsia" w:ascii="仿宋_GB2312" w:hAnsi="仿宋_GB2312" w:eastAsia="仿宋_GB2312" w:cs="仿宋_GB2312"/>
                <w:color w:val="auto"/>
                <w:sz w:val="28"/>
                <w:szCs w:val="28"/>
              </w:rPr>
              <w:t>、在全省地州市局中率先组织开展认证领域</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°双随机、一公开</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±监督检查。</w:t>
            </w:r>
          </w:p>
          <w:p>
            <w:pPr>
              <w:spacing w:line="580" w:lineRule="exact"/>
              <w:ind w:firstLine="560" w:firstLineChars="200"/>
              <w:rPr>
                <w:rFonts w:ascii="仿宋_GB2312" w:hAnsi="仿宋_GB2312" w:eastAsia="仿宋_GB2312" w:cs="仿宋_GB2312"/>
                <w:color w:val="auto"/>
                <w:kern w:val="0"/>
                <w:sz w:val="28"/>
                <w:szCs w:val="28"/>
              </w:rPr>
            </w:pPr>
            <w:r>
              <w:rPr>
                <w:rFonts w:hint="eastAsia" w:ascii="黑体" w:hAnsi="黑体" w:eastAsia="黑体" w:cs="黑体"/>
                <w:bCs/>
                <w:color w:val="auto"/>
                <w:sz w:val="28"/>
                <w:szCs w:val="28"/>
              </w:rPr>
              <w:t>五、存在的主要问题</w:t>
            </w:r>
          </w:p>
          <w:p>
            <w:pPr>
              <w:widowControl/>
              <w:spacing w:line="480" w:lineRule="auto"/>
              <w:ind w:firstLine="560" w:firstLineChars="200"/>
              <w:rPr>
                <w:rFonts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1</w:t>
            </w:r>
            <w:r>
              <w:rPr>
                <w:rFonts w:hint="eastAsia" w:ascii="仿宋_GB2312" w:hAnsi="仿宋_GB2312" w:eastAsia="仿宋_GB2312" w:cs="仿宋_GB2312"/>
                <w:color w:val="auto"/>
                <w:kern w:val="0"/>
                <w:sz w:val="28"/>
                <w:szCs w:val="28"/>
              </w:rPr>
              <w:t>、项目推进速度存在不及时，项目资金用款进度偏慢。</w:t>
            </w:r>
          </w:p>
          <w:p>
            <w:pPr>
              <w:widowControl/>
              <w:spacing w:line="480" w:lineRule="auto"/>
              <w:ind w:firstLine="560" w:firstLineChars="200"/>
              <w:rPr>
                <w:rFonts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2</w:t>
            </w:r>
            <w:r>
              <w:rPr>
                <w:rFonts w:hint="eastAsia" w:ascii="仿宋_GB2312" w:hAnsi="仿宋_GB2312" w:eastAsia="仿宋_GB2312" w:cs="仿宋_GB2312"/>
                <w:color w:val="auto"/>
                <w:kern w:val="0"/>
                <w:sz w:val="28"/>
                <w:szCs w:val="28"/>
              </w:rPr>
              <w:t>、固定资产管理不够规范，处置程序有待加强。</w:t>
            </w:r>
          </w:p>
          <w:p>
            <w:pPr>
              <w:spacing w:line="58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rPr>
              <w:t>六、改进措施和建议</w:t>
            </w:r>
          </w:p>
          <w:p>
            <w:pPr>
              <w:widowControl/>
              <w:spacing w:line="480" w:lineRule="auto"/>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针对上述存在的问题及我局整体支出管理工作的需要，拟实施的改进措施如下：</w:t>
            </w:r>
          </w:p>
          <w:p>
            <w:pPr>
              <w:widowControl/>
              <w:spacing w:line="480" w:lineRule="auto"/>
              <w:ind w:firstLine="560" w:firstLineChars="200"/>
              <w:rPr>
                <w:rFonts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1</w:t>
            </w:r>
            <w:r>
              <w:rPr>
                <w:rFonts w:hint="eastAsia" w:ascii="仿宋_GB2312" w:hAnsi="仿宋_GB2312" w:eastAsia="仿宋_GB2312" w:cs="仿宋_GB2312"/>
                <w:color w:val="auto"/>
                <w:kern w:val="0"/>
                <w:sz w:val="28"/>
                <w:szCs w:val="28"/>
              </w:rPr>
              <w:t>、细化预算编制工作，认真做好预算的编制。</w:t>
            </w:r>
          </w:p>
          <w:p>
            <w:pPr>
              <w:widowControl/>
              <w:spacing w:line="480" w:lineRule="auto"/>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加强预算管理意识，严格按照预算编制的相关制度和要求，公用经费根据单位的年度工作重点和项目专项工作规划，本着“勤俭节约、保障运转”的原则进行预算的编制。在预算编制时首先需满足固定性的、相对刚性的费用支出项目，尽量压缩变动性的、有控制空间的费用项目，进一步提高预算编制的科学性、合理性、严谨性和可控性。</w:t>
            </w:r>
          </w:p>
          <w:p>
            <w:pPr>
              <w:ind w:firstLine="560" w:firstLineChars="200"/>
              <w:rPr>
                <w:rFonts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2</w:t>
            </w:r>
            <w:r>
              <w:rPr>
                <w:rFonts w:hint="eastAsia" w:ascii="仿宋_GB2312" w:hAnsi="仿宋_GB2312" w:eastAsia="仿宋_GB2312" w:cs="仿宋_GB2312"/>
                <w:color w:val="auto"/>
                <w:kern w:val="0"/>
                <w:sz w:val="28"/>
                <w:szCs w:val="28"/>
              </w:rPr>
              <w:t>、加强固定资产管理，提高固定资产利用率。</w:t>
            </w:r>
          </w:p>
          <w:p>
            <w:pPr>
              <w:ind w:firstLine="560" w:firstLineChars="200"/>
              <w:rPr>
                <w:rFonts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3</w:t>
            </w:r>
            <w:r>
              <w:rPr>
                <w:rFonts w:hint="eastAsia" w:ascii="仿宋_GB2312" w:hAnsi="仿宋_GB2312" w:eastAsia="仿宋_GB2312" w:cs="仿宋_GB2312"/>
                <w:color w:val="auto"/>
                <w:kern w:val="0"/>
                <w:sz w:val="28"/>
                <w:szCs w:val="28"/>
              </w:rPr>
              <w:t>、严格项目支出管理，细化分解项目到月，确保按时按质完成绩效目标。</w:t>
            </w:r>
          </w:p>
          <w:p>
            <w:pPr>
              <w:ind w:firstLine="560" w:firstLineChars="200"/>
              <w:rPr>
                <w:rFonts w:ascii="仿宋_GB2312" w:hAnsi="仿宋_GB2312" w:eastAsia="仿宋_GB2312" w:cs="仿宋_GB2312"/>
                <w:color w:val="auto"/>
                <w:kern w:val="0"/>
                <w:sz w:val="28"/>
                <w:szCs w:val="28"/>
              </w:rPr>
            </w:pPr>
          </w:p>
          <w:p>
            <w:pPr>
              <w:spacing w:line="560" w:lineRule="exact"/>
              <w:ind w:firstLine="5880" w:firstLineChars="2100"/>
              <w:rPr>
                <w:rFonts w:ascii="黑体" w:hAnsi="黑体" w:eastAsia="黑体" w:cs="黑体"/>
                <w:bCs/>
                <w:color w:val="auto"/>
                <w:sz w:val="28"/>
                <w:szCs w:val="28"/>
              </w:rPr>
            </w:pPr>
            <w:r>
              <w:rPr>
                <w:rFonts w:hint="eastAsia" w:ascii="仿宋_GB2312" w:hAnsi="仿宋_GB2312" w:eastAsia="仿宋_GB2312" w:cs="仿宋_GB2312"/>
                <w:color w:val="auto"/>
                <w:kern w:val="0"/>
                <w:sz w:val="28"/>
                <w:szCs w:val="28"/>
              </w:rPr>
              <w:t>二</w:t>
            </w:r>
            <w:r>
              <w:rPr>
                <w:rFonts w:ascii="仿宋_GB2312" w:hAnsi="仿宋_GB2312" w:eastAsia="仿宋_GB2312" w:cs="仿宋_GB2312"/>
                <w:color w:val="auto"/>
                <w:kern w:val="0"/>
                <w:sz w:val="28"/>
                <w:szCs w:val="28"/>
              </w:rPr>
              <w:t>0</w:t>
            </w:r>
            <w:r>
              <w:rPr>
                <w:rFonts w:hint="eastAsia" w:ascii="仿宋_GB2312" w:hAnsi="仿宋_GB2312" w:eastAsia="仿宋_GB2312" w:cs="仿宋_GB2312"/>
                <w:color w:val="auto"/>
                <w:kern w:val="0"/>
                <w:sz w:val="28"/>
                <w:szCs w:val="28"/>
              </w:rPr>
              <w:t>二一年六月二日</w:t>
            </w:r>
          </w:p>
          <w:p>
            <w:pPr>
              <w:spacing w:line="560" w:lineRule="exact"/>
              <w:ind w:firstLine="560" w:firstLineChars="200"/>
              <w:rPr>
                <w:rFonts w:ascii="黑体" w:hAnsi="黑体" w:eastAsia="黑体" w:cs="黑体"/>
                <w:bCs/>
                <w:color w:val="auto"/>
                <w:sz w:val="28"/>
                <w:szCs w:val="28"/>
              </w:rPr>
            </w:pPr>
          </w:p>
          <w:p>
            <w:pPr>
              <w:rPr>
                <w:rFonts w:eastAsia="楷体_GB2312"/>
                <w:bCs/>
                <w:color w:val="auto"/>
                <w:sz w:val="28"/>
                <w:szCs w:val="28"/>
              </w:rPr>
            </w:pPr>
          </w:p>
        </w:tc>
      </w:tr>
    </w:tbl>
    <w:p>
      <w:pPr>
        <w:spacing w:line="348" w:lineRule="auto"/>
        <w:rPr>
          <w:rFonts w:eastAsia="楷体_GB2312"/>
          <w:bCs/>
          <w:color w:val="auto"/>
          <w:sz w:val="28"/>
          <w:szCs w:val="28"/>
        </w:rPr>
      </w:pPr>
    </w:p>
    <w:p>
      <w:pPr>
        <w:spacing w:line="348" w:lineRule="auto"/>
        <w:rPr>
          <w:rFonts w:ascii="黑体" w:hAnsi="黑体" w:eastAsia="黑体"/>
          <w:color w:val="auto"/>
          <w:sz w:val="32"/>
          <w:szCs w:val="32"/>
        </w:rPr>
      </w:pPr>
      <w:r>
        <w:rPr>
          <w:rFonts w:ascii="黑体" w:hAnsi="黑体" w:eastAsia="黑体"/>
          <w:color w:val="auto"/>
          <w:sz w:val="32"/>
          <w:szCs w:val="32"/>
        </w:rPr>
        <w:br w:type="page"/>
      </w:r>
      <w:r>
        <w:rPr>
          <w:rFonts w:hint="eastAsia" w:ascii="黑体" w:hAnsi="黑体" w:eastAsia="黑体"/>
          <w:color w:val="auto"/>
          <w:sz w:val="32"/>
          <w:szCs w:val="32"/>
        </w:rPr>
        <w:t>附件</w:t>
      </w:r>
      <w:r>
        <w:rPr>
          <w:rFonts w:ascii="黑体" w:hAnsi="黑体" w:eastAsia="黑体"/>
          <w:color w:val="auto"/>
          <w:sz w:val="32"/>
          <w:szCs w:val="32"/>
        </w:rPr>
        <w:t>3-1</w:t>
      </w:r>
    </w:p>
    <w:p>
      <w:pPr>
        <w:spacing w:beforeLines="100" w:afterLines="100"/>
        <w:jc w:val="center"/>
        <w:rPr>
          <w:rFonts w:ascii="方正小标宋简体" w:eastAsia="方正小标宋简体"/>
          <w:color w:val="auto"/>
          <w:sz w:val="38"/>
          <w:szCs w:val="38"/>
        </w:rPr>
      </w:pPr>
      <w:r>
        <w:rPr>
          <w:rFonts w:hint="eastAsia" w:ascii="方正小标宋简体" w:eastAsia="方正小标宋简体"/>
          <w:color w:val="auto"/>
          <w:sz w:val="38"/>
          <w:szCs w:val="38"/>
        </w:rPr>
        <w:t>部门整体支出绩效评价评分表（参考样表）</w:t>
      </w:r>
    </w:p>
    <w:tbl>
      <w:tblPr>
        <w:tblStyle w:val="7"/>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一级指标</w:t>
            </w:r>
          </w:p>
        </w:tc>
        <w:tc>
          <w:tcPr>
            <w:tcW w:w="9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二级指标</w:t>
            </w:r>
          </w:p>
        </w:tc>
        <w:tc>
          <w:tcPr>
            <w:tcW w:w="138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三级指标</w:t>
            </w:r>
          </w:p>
        </w:tc>
        <w:tc>
          <w:tcPr>
            <w:tcW w:w="41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评分标准</w:t>
            </w:r>
          </w:p>
        </w:tc>
        <w:tc>
          <w:tcPr>
            <w:tcW w:w="6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color w:val="auto"/>
                <w:spacing w:val="-10"/>
                <w:kern w:val="0"/>
                <w:sz w:val="18"/>
                <w:szCs w:val="18"/>
              </w:rPr>
            </w:pPr>
            <w:r>
              <w:rPr>
                <w:rFonts w:hint="eastAsia" w:ascii="仿宋_GB2312" w:hAnsi="宋体" w:eastAsia="仿宋_GB2312" w:cs="宋体"/>
                <w:b/>
                <w:bCs/>
                <w:color w:val="auto"/>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投入</w:t>
            </w:r>
            <w:r>
              <w:rPr>
                <w:rFonts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w:t>
            </w:r>
            <w:r>
              <w:rPr>
                <w:rFonts w:ascii="仿宋_GB2312" w:hAnsi="宋体" w:eastAsia="仿宋_GB2312" w:cs="宋体"/>
                <w:color w:val="auto"/>
                <w:kern w:val="0"/>
                <w:sz w:val="18"/>
                <w:szCs w:val="18"/>
              </w:rPr>
              <w:t>15</w:t>
            </w:r>
            <w:r>
              <w:rPr>
                <w:rFonts w:hint="eastAsia" w:ascii="仿宋_GB2312" w:hAnsi="宋体" w:eastAsia="仿宋_GB2312" w:cs="宋体"/>
                <w:color w:val="auto"/>
                <w:kern w:val="0"/>
                <w:sz w:val="18"/>
                <w:szCs w:val="18"/>
              </w:rPr>
              <w:t>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预算配置</w:t>
            </w:r>
            <w:r>
              <w:rPr>
                <w:rFonts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w:t>
            </w:r>
            <w:r>
              <w:rPr>
                <w:rFonts w:ascii="仿宋_GB2312" w:hAnsi="宋体" w:eastAsia="仿宋_GB2312" w:cs="宋体"/>
                <w:color w:val="auto"/>
                <w:kern w:val="0"/>
                <w:sz w:val="18"/>
                <w:szCs w:val="18"/>
              </w:rPr>
              <w:t>15</w:t>
            </w:r>
            <w:r>
              <w:rPr>
                <w:rFonts w:hint="eastAsia" w:ascii="仿宋_GB2312" w:hAnsi="宋体" w:eastAsia="仿宋_GB2312" w:cs="宋体"/>
                <w:color w:val="auto"/>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财政供养人员</w:t>
            </w:r>
          </w:p>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以</w:t>
            </w:r>
            <w:r>
              <w:rPr>
                <w:rFonts w:ascii="仿宋_GB2312" w:hAnsi="宋体" w:eastAsia="仿宋_GB2312" w:cs="宋体"/>
                <w:color w:val="auto"/>
                <w:kern w:val="0"/>
                <w:sz w:val="18"/>
                <w:szCs w:val="18"/>
              </w:rPr>
              <w:t>100%</w:t>
            </w:r>
            <w:r>
              <w:rPr>
                <w:rFonts w:hint="eastAsia" w:ascii="仿宋_GB2312" w:hAnsi="宋体" w:eastAsia="仿宋_GB2312" w:cs="宋体"/>
                <w:color w:val="auto"/>
                <w:kern w:val="0"/>
                <w:sz w:val="18"/>
                <w:szCs w:val="18"/>
              </w:rPr>
              <w:t>为标准。在职人员控制率</w:t>
            </w:r>
            <w:r>
              <w:rPr>
                <w:rFonts w:hint="eastAsia" w:ascii="宋体" w:hAnsi="宋体" w:cs="宋体"/>
                <w:color w:val="auto"/>
                <w:kern w:val="0"/>
                <w:sz w:val="18"/>
                <w:szCs w:val="18"/>
              </w:rPr>
              <w:t>≦</w:t>
            </w:r>
            <w:r>
              <w:rPr>
                <w:rFonts w:ascii="仿宋_GB2312" w:hAnsi="宋体" w:eastAsia="仿宋_GB2312" w:cs="宋体"/>
                <w:color w:val="auto"/>
                <w:kern w:val="0"/>
                <w:sz w:val="18"/>
                <w:szCs w:val="18"/>
              </w:rPr>
              <w:t>100%</w:t>
            </w:r>
            <w:r>
              <w:rPr>
                <w:rFonts w:hint="eastAsia" w:ascii="仿宋_GB2312" w:hAnsi="宋体" w:eastAsia="仿宋_GB2312" w:cs="宋体"/>
                <w:color w:val="auto"/>
                <w:kern w:val="0"/>
                <w:sz w:val="18"/>
                <w:szCs w:val="18"/>
              </w:rPr>
              <w:t>，计</w:t>
            </w:r>
            <w:r>
              <w:rPr>
                <w:rFonts w:ascii="仿宋_GB2312" w:hAnsi="宋体" w:eastAsia="仿宋_GB2312" w:cs="宋体"/>
                <w:color w:val="auto"/>
                <w:kern w:val="0"/>
                <w:sz w:val="18"/>
                <w:szCs w:val="18"/>
              </w:rPr>
              <w:t>5</w:t>
            </w:r>
            <w:r>
              <w:rPr>
                <w:rFonts w:hint="eastAsia" w:ascii="仿宋_GB2312" w:hAnsi="宋体" w:eastAsia="仿宋_GB2312" w:cs="宋体"/>
                <w:color w:val="auto"/>
                <w:kern w:val="0"/>
                <w:sz w:val="18"/>
                <w:szCs w:val="18"/>
              </w:rPr>
              <w:t>分；每超过一个百分点扣</w:t>
            </w:r>
            <w:r>
              <w:rPr>
                <w:rFonts w:ascii="仿宋_GB2312" w:hAnsi="宋体" w:eastAsia="仿宋_GB2312" w:cs="宋体"/>
                <w:color w:val="auto"/>
                <w:kern w:val="0"/>
                <w:sz w:val="18"/>
                <w:szCs w:val="18"/>
              </w:rPr>
              <w:t>0.5</w:t>
            </w:r>
            <w:r>
              <w:rPr>
                <w:rFonts w:hint="eastAsia" w:ascii="仿宋_GB2312" w:hAnsi="宋体" w:eastAsia="仿宋_GB2312" w:cs="宋体"/>
                <w:color w:val="auto"/>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“三公经费”</w:t>
            </w:r>
            <w:r>
              <w:rPr>
                <w:rFonts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“三公经费”变动率</w:t>
            </w:r>
            <w:r>
              <w:rPr>
                <w:rFonts w:hint="eastAsia" w:ascii="宋体" w:hAnsi="宋体" w:cs="宋体"/>
                <w:color w:val="auto"/>
                <w:kern w:val="0"/>
                <w:sz w:val="18"/>
                <w:szCs w:val="18"/>
              </w:rPr>
              <w:t>≦</w:t>
            </w:r>
            <w:r>
              <w:rPr>
                <w:rFonts w:ascii="仿宋_GB2312" w:hAnsi="宋体" w:eastAsia="仿宋_GB2312" w:cs="宋体"/>
                <w:color w:val="auto"/>
                <w:kern w:val="0"/>
                <w:sz w:val="18"/>
                <w:szCs w:val="18"/>
              </w:rPr>
              <w:t>0,</w:t>
            </w:r>
            <w:r>
              <w:rPr>
                <w:rFonts w:hint="eastAsia" w:ascii="仿宋_GB2312" w:hAnsi="宋体" w:eastAsia="仿宋_GB2312" w:cs="宋体"/>
                <w:color w:val="auto"/>
                <w:kern w:val="0"/>
                <w:sz w:val="18"/>
                <w:szCs w:val="18"/>
              </w:rPr>
              <w:t>计</w:t>
            </w:r>
            <w:r>
              <w:rPr>
                <w:rFonts w:ascii="仿宋_GB2312" w:hAnsi="宋体" w:eastAsia="仿宋_GB2312" w:cs="宋体"/>
                <w:color w:val="auto"/>
                <w:kern w:val="0"/>
                <w:sz w:val="18"/>
                <w:szCs w:val="18"/>
              </w:rPr>
              <w:t>5</w:t>
            </w:r>
            <w:r>
              <w:rPr>
                <w:rFonts w:hint="eastAsia" w:ascii="仿宋_GB2312" w:hAnsi="宋体" w:eastAsia="仿宋_GB2312" w:cs="宋体"/>
                <w:color w:val="auto"/>
                <w:kern w:val="0"/>
                <w:sz w:val="18"/>
                <w:szCs w:val="18"/>
              </w:rPr>
              <w:t>分；</w:t>
            </w:r>
            <w:r>
              <w:rPr>
                <w:rFonts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“三公经费”＞</w:t>
            </w:r>
            <w:r>
              <w:rPr>
                <w:rFonts w:ascii="仿宋_GB2312" w:hAnsi="宋体" w:eastAsia="仿宋_GB2312" w:cs="宋体"/>
                <w:color w:val="auto"/>
                <w:kern w:val="0"/>
                <w:sz w:val="18"/>
                <w:szCs w:val="18"/>
              </w:rPr>
              <w:t>0</w:t>
            </w:r>
            <w:r>
              <w:rPr>
                <w:rFonts w:hint="eastAsia" w:ascii="仿宋_GB2312" w:hAnsi="宋体" w:eastAsia="仿宋_GB2312" w:cs="宋体"/>
                <w:color w:val="auto"/>
                <w:kern w:val="0"/>
                <w:sz w:val="18"/>
                <w:szCs w:val="18"/>
              </w:rPr>
              <w:t>，每超过一个百分点扣</w:t>
            </w:r>
            <w:r>
              <w:rPr>
                <w:rFonts w:ascii="仿宋_GB2312" w:hAnsi="宋体" w:eastAsia="仿宋_GB2312" w:cs="宋体"/>
                <w:color w:val="auto"/>
                <w:kern w:val="0"/>
                <w:sz w:val="18"/>
                <w:szCs w:val="18"/>
              </w:rPr>
              <w:t>0.5</w:t>
            </w:r>
            <w:r>
              <w:rPr>
                <w:rFonts w:hint="eastAsia" w:ascii="仿宋_GB2312" w:hAnsi="宋体" w:eastAsia="仿宋_GB2312" w:cs="宋体"/>
                <w:color w:val="auto"/>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重点支出</w:t>
            </w:r>
            <w:r>
              <w:rPr>
                <w:rFonts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重点支出安排率≥</w:t>
            </w:r>
            <w:r>
              <w:rPr>
                <w:rFonts w:ascii="仿宋_GB2312" w:hAnsi="宋体" w:eastAsia="仿宋_GB2312" w:cs="宋体"/>
                <w:color w:val="auto"/>
                <w:kern w:val="0"/>
                <w:sz w:val="18"/>
                <w:szCs w:val="18"/>
              </w:rPr>
              <w:t>90%</w:t>
            </w:r>
            <w:r>
              <w:rPr>
                <w:rFonts w:hint="eastAsia" w:ascii="仿宋_GB2312" w:hAnsi="宋体" w:eastAsia="仿宋_GB2312" w:cs="宋体"/>
                <w:color w:val="auto"/>
                <w:kern w:val="0"/>
                <w:sz w:val="18"/>
                <w:szCs w:val="18"/>
              </w:rPr>
              <w:t>，计</w:t>
            </w:r>
            <w:r>
              <w:rPr>
                <w:rFonts w:ascii="仿宋_GB2312" w:hAnsi="宋体" w:eastAsia="仿宋_GB2312" w:cs="宋体"/>
                <w:color w:val="auto"/>
                <w:kern w:val="0"/>
                <w:sz w:val="18"/>
                <w:szCs w:val="18"/>
              </w:rPr>
              <w:t>5</w:t>
            </w:r>
            <w:r>
              <w:rPr>
                <w:rFonts w:hint="eastAsia" w:ascii="仿宋_GB2312" w:hAnsi="宋体" w:eastAsia="仿宋_GB2312" w:cs="宋体"/>
                <w:color w:val="auto"/>
                <w:kern w:val="0"/>
                <w:sz w:val="18"/>
                <w:szCs w:val="18"/>
              </w:rPr>
              <w:t>分；</w:t>
            </w:r>
            <w:r>
              <w:rPr>
                <w:rFonts w:ascii="仿宋_GB2312" w:hAnsi="宋体" w:eastAsia="仿宋_GB2312" w:cs="宋体"/>
                <w:color w:val="auto"/>
                <w:kern w:val="0"/>
                <w:sz w:val="18"/>
                <w:szCs w:val="18"/>
              </w:rPr>
              <w:t>80%</w:t>
            </w:r>
            <w:r>
              <w:rPr>
                <w:rFonts w:hint="eastAsia" w:ascii="仿宋_GB2312" w:hAnsi="宋体" w:eastAsia="仿宋_GB2312" w:cs="宋体"/>
                <w:color w:val="auto"/>
                <w:kern w:val="0"/>
                <w:sz w:val="18"/>
                <w:szCs w:val="18"/>
              </w:rPr>
              <w:t>（含）</w:t>
            </w:r>
            <w:r>
              <w:rPr>
                <w:rFonts w:ascii="仿宋_GB2312" w:hAnsi="宋体" w:eastAsia="仿宋_GB2312" w:cs="宋体"/>
                <w:color w:val="auto"/>
                <w:kern w:val="0"/>
                <w:sz w:val="18"/>
                <w:szCs w:val="18"/>
              </w:rPr>
              <w:t>-90%</w:t>
            </w:r>
            <w:r>
              <w:rPr>
                <w:rFonts w:hint="eastAsia" w:ascii="仿宋_GB2312" w:hAnsi="宋体" w:eastAsia="仿宋_GB2312" w:cs="宋体"/>
                <w:color w:val="auto"/>
                <w:kern w:val="0"/>
                <w:sz w:val="18"/>
                <w:szCs w:val="18"/>
              </w:rPr>
              <w:t>，计</w:t>
            </w:r>
            <w:r>
              <w:rPr>
                <w:rFonts w:ascii="仿宋_GB2312" w:hAnsi="宋体" w:eastAsia="仿宋_GB2312" w:cs="宋体"/>
                <w:color w:val="auto"/>
                <w:kern w:val="0"/>
                <w:sz w:val="18"/>
                <w:szCs w:val="18"/>
              </w:rPr>
              <w:t>4</w:t>
            </w:r>
            <w:r>
              <w:rPr>
                <w:rFonts w:hint="eastAsia" w:ascii="仿宋_GB2312" w:hAnsi="宋体" w:eastAsia="仿宋_GB2312" w:cs="宋体"/>
                <w:color w:val="auto"/>
                <w:kern w:val="0"/>
                <w:sz w:val="18"/>
                <w:szCs w:val="18"/>
              </w:rPr>
              <w:t>分；</w:t>
            </w:r>
            <w:r>
              <w:rPr>
                <w:rFonts w:ascii="仿宋_GB2312" w:hAnsi="宋体" w:eastAsia="仿宋_GB2312" w:cs="宋体"/>
                <w:color w:val="auto"/>
                <w:kern w:val="0"/>
                <w:sz w:val="18"/>
                <w:szCs w:val="18"/>
              </w:rPr>
              <w:t>70%</w:t>
            </w:r>
            <w:r>
              <w:rPr>
                <w:rFonts w:hint="eastAsia" w:ascii="仿宋_GB2312" w:hAnsi="宋体" w:eastAsia="仿宋_GB2312" w:cs="宋体"/>
                <w:color w:val="auto"/>
                <w:kern w:val="0"/>
                <w:sz w:val="18"/>
                <w:szCs w:val="18"/>
              </w:rPr>
              <w:t>（含）</w:t>
            </w:r>
            <w:r>
              <w:rPr>
                <w:rFonts w:ascii="仿宋_GB2312" w:hAnsi="宋体" w:eastAsia="仿宋_GB2312" w:cs="宋体"/>
                <w:color w:val="auto"/>
                <w:kern w:val="0"/>
                <w:sz w:val="18"/>
                <w:szCs w:val="18"/>
              </w:rPr>
              <w:t>-80%</w:t>
            </w:r>
            <w:r>
              <w:rPr>
                <w:rFonts w:hint="eastAsia" w:ascii="仿宋_GB2312" w:hAnsi="宋体" w:eastAsia="仿宋_GB2312" w:cs="宋体"/>
                <w:color w:val="auto"/>
                <w:kern w:val="0"/>
                <w:sz w:val="18"/>
                <w:szCs w:val="18"/>
              </w:rPr>
              <w:t>，计</w:t>
            </w:r>
            <w:r>
              <w:rPr>
                <w:rFonts w:ascii="仿宋_GB2312" w:hAnsi="宋体" w:eastAsia="仿宋_GB2312" w:cs="宋体"/>
                <w:color w:val="auto"/>
                <w:kern w:val="0"/>
                <w:sz w:val="18"/>
                <w:szCs w:val="18"/>
              </w:rPr>
              <w:t>3</w:t>
            </w:r>
            <w:r>
              <w:rPr>
                <w:rFonts w:hint="eastAsia" w:ascii="仿宋_GB2312" w:hAnsi="宋体" w:eastAsia="仿宋_GB2312" w:cs="宋体"/>
                <w:color w:val="auto"/>
                <w:kern w:val="0"/>
                <w:sz w:val="18"/>
                <w:szCs w:val="18"/>
              </w:rPr>
              <w:t>分；</w:t>
            </w:r>
            <w:r>
              <w:rPr>
                <w:rFonts w:ascii="仿宋_GB2312" w:hAnsi="宋体" w:eastAsia="仿宋_GB2312" w:cs="宋体"/>
                <w:color w:val="auto"/>
                <w:kern w:val="0"/>
                <w:sz w:val="18"/>
                <w:szCs w:val="18"/>
              </w:rPr>
              <w:t>60%</w:t>
            </w:r>
            <w:r>
              <w:rPr>
                <w:rFonts w:hint="eastAsia" w:ascii="仿宋_GB2312" w:hAnsi="宋体" w:eastAsia="仿宋_GB2312" w:cs="宋体"/>
                <w:color w:val="auto"/>
                <w:kern w:val="0"/>
                <w:sz w:val="18"/>
                <w:szCs w:val="18"/>
              </w:rPr>
              <w:t>（含）</w:t>
            </w:r>
            <w:r>
              <w:rPr>
                <w:rFonts w:ascii="仿宋_GB2312" w:hAnsi="宋体" w:eastAsia="仿宋_GB2312" w:cs="宋体"/>
                <w:color w:val="auto"/>
                <w:kern w:val="0"/>
                <w:sz w:val="18"/>
                <w:szCs w:val="18"/>
              </w:rPr>
              <w:t>-70%</w:t>
            </w:r>
            <w:r>
              <w:rPr>
                <w:rFonts w:hint="eastAsia" w:ascii="仿宋_GB2312" w:hAnsi="宋体" w:eastAsia="仿宋_GB2312" w:cs="宋体"/>
                <w:color w:val="auto"/>
                <w:kern w:val="0"/>
                <w:sz w:val="18"/>
                <w:szCs w:val="18"/>
              </w:rPr>
              <w:t>，计</w:t>
            </w:r>
            <w:r>
              <w:rPr>
                <w:rFonts w:ascii="仿宋_GB2312" w:hAnsi="宋体" w:eastAsia="仿宋_GB2312" w:cs="宋体"/>
                <w:color w:val="auto"/>
                <w:kern w:val="0"/>
                <w:sz w:val="18"/>
                <w:szCs w:val="18"/>
              </w:rPr>
              <w:t>2</w:t>
            </w:r>
            <w:r>
              <w:rPr>
                <w:rFonts w:hint="eastAsia" w:ascii="仿宋_GB2312" w:hAnsi="宋体" w:eastAsia="仿宋_GB2312" w:cs="宋体"/>
                <w:color w:val="auto"/>
                <w:kern w:val="0"/>
                <w:sz w:val="18"/>
                <w:szCs w:val="18"/>
              </w:rPr>
              <w:t>分；低于</w:t>
            </w:r>
            <w:r>
              <w:rPr>
                <w:rFonts w:ascii="仿宋_GB2312" w:hAnsi="宋体" w:eastAsia="仿宋_GB2312" w:cs="宋体"/>
                <w:color w:val="auto"/>
                <w:kern w:val="0"/>
                <w:sz w:val="18"/>
                <w:szCs w:val="18"/>
              </w:rPr>
              <w:t>60%</w:t>
            </w:r>
            <w:r>
              <w:rPr>
                <w:rFonts w:hint="eastAsia" w:ascii="仿宋_GB2312" w:hAnsi="宋体" w:eastAsia="仿宋_GB2312" w:cs="宋体"/>
                <w:color w:val="auto"/>
                <w:kern w:val="0"/>
                <w:sz w:val="18"/>
                <w:szCs w:val="18"/>
              </w:rPr>
              <w:t>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过程</w:t>
            </w:r>
            <w:r>
              <w:rPr>
                <w:rFonts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w:t>
            </w:r>
            <w:r>
              <w:rPr>
                <w:rFonts w:ascii="仿宋_GB2312" w:hAnsi="宋体" w:eastAsia="仿宋_GB2312" w:cs="宋体"/>
                <w:color w:val="auto"/>
                <w:kern w:val="0"/>
                <w:sz w:val="18"/>
                <w:szCs w:val="18"/>
              </w:rPr>
              <w:t>40</w:t>
            </w:r>
            <w:r>
              <w:rPr>
                <w:rFonts w:hint="eastAsia" w:ascii="仿宋_GB2312" w:hAnsi="宋体" w:eastAsia="仿宋_GB2312" w:cs="宋体"/>
                <w:color w:val="auto"/>
                <w:kern w:val="0"/>
                <w:sz w:val="18"/>
                <w:szCs w:val="18"/>
              </w:rPr>
              <w:t>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预算执行</w:t>
            </w:r>
            <w:r>
              <w:rPr>
                <w:rFonts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w:t>
            </w:r>
            <w:r>
              <w:rPr>
                <w:rFonts w:ascii="仿宋_GB2312" w:hAnsi="宋体" w:eastAsia="仿宋_GB2312" w:cs="宋体"/>
                <w:color w:val="auto"/>
                <w:kern w:val="0"/>
                <w:sz w:val="18"/>
                <w:szCs w:val="18"/>
              </w:rPr>
              <w:t>15</w:t>
            </w:r>
            <w:r>
              <w:rPr>
                <w:rFonts w:hint="eastAsia" w:ascii="仿宋_GB2312" w:hAnsi="宋体" w:eastAsia="仿宋_GB2312" w:cs="宋体"/>
                <w:color w:val="auto"/>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预算调整率</w:t>
            </w:r>
            <w:r>
              <w:rPr>
                <w:rFonts w:ascii="仿宋_GB2312" w:hAnsi="宋体" w:eastAsia="仿宋_GB2312" w:cs="宋体"/>
                <w:color w:val="auto"/>
                <w:kern w:val="0"/>
                <w:sz w:val="18"/>
                <w:szCs w:val="18"/>
              </w:rPr>
              <w:t>=0</w:t>
            </w:r>
            <w:r>
              <w:rPr>
                <w:rFonts w:hint="eastAsia" w:ascii="仿宋_GB2312" w:hAnsi="宋体" w:eastAsia="仿宋_GB2312" w:cs="宋体"/>
                <w:color w:val="auto"/>
                <w:kern w:val="0"/>
                <w:sz w:val="18"/>
                <w:szCs w:val="18"/>
              </w:rPr>
              <w:t>，计</w:t>
            </w:r>
            <w:r>
              <w:rPr>
                <w:rFonts w:ascii="仿宋_GB2312" w:hAnsi="宋体" w:eastAsia="仿宋_GB2312" w:cs="宋体"/>
                <w:color w:val="auto"/>
                <w:kern w:val="0"/>
                <w:sz w:val="18"/>
                <w:szCs w:val="18"/>
              </w:rPr>
              <w:t>3</w:t>
            </w:r>
            <w:r>
              <w:rPr>
                <w:rFonts w:hint="eastAsia" w:ascii="仿宋_GB2312" w:hAnsi="宋体" w:eastAsia="仿宋_GB2312" w:cs="宋体"/>
                <w:color w:val="auto"/>
                <w:kern w:val="0"/>
                <w:sz w:val="18"/>
                <w:szCs w:val="18"/>
              </w:rPr>
              <w:t>分；</w:t>
            </w:r>
            <w:r>
              <w:rPr>
                <w:rFonts w:ascii="仿宋_GB2312" w:hAnsi="宋体" w:eastAsia="仿宋_GB2312" w:cs="宋体"/>
                <w:color w:val="auto"/>
                <w:kern w:val="0"/>
                <w:sz w:val="18"/>
                <w:szCs w:val="18"/>
              </w:rPr>
              <w:t>0-10%</w:t>
            </w:r>
            <w:r>
              <w:rPr>
                <w:rFonts w:hint="eastAsia" w:ascii="仿宋_GB2312" w:hAnsi="宋体" w:eastAsia="仿宋_GB2312" w:cs="宋体"/>
                <w:color w:val="auto"/>
                <w:kern w:val="0"/>
                <w:sz w:val="18"/>
                <w:szCs w:val="18"/>
              </w:rPr>
              <w:t>（含），计</w:t>
            </w:r>
            <w:r>
              <w:rPr>
                <w:rFonts w:ascii="仿宋_GB2312" w:hAnsi="宋体" w:eastAsia="仿宋_GB2312" w:cs="宋体"/>
                <w:color w:val="auto"/>
                <w:kern w:val="0"/>
                <w:sz w:val="18"/>
                <w:szCs w:val="18"/>
              </w:rPr>
              <w:t>2</w:t>
            </w:r>
            <w:r>
              <w:rPr>
                <w:rFonts w:hint="eastAsia" w:ascii="仿宋_GB2312" w:hAnsi="宋体" w:eastAsia="仿宋_GB2312" w:cs="宋体"/>
                <w:color w:val="auto"/>
                <w:kern w:val="0"/>
                <w:sz w:val="18"/>
                <w:szCs w:val="18"/>
              </w:rPr>
              <w:t>分；</w:t>
            </w:r>
            <w:r>
              <w:rPr>
                <w:rFonts w:ascii="仿宋_GB2312" w:hAnsi="宋体" w:eastAsia="仿宋_GB2312" w:cs="宋体"/>
                <w:color w:val="auto"/>
                <w:kern w:val="0"/>
                <w:sz w:val="18"/>
                <w:szCs w:val="18"/>
              </w:rPr>
              <w:t>10-20%</w:t>
            </w:r>
            <w:r>
              <w:rPr>
                <w:rFonts w:hint="eastAsia" w:ascii="仿宋_GB2312" w:hAnsi="宋体" w:eastAsia="仿宋_GB2312" w:cs="宋体"/>
                <w:color w:val="auto"/>
                <w:kern w:val="0"/>
                <w:sz w:val="18"/>
                <w:szCs w:val="18"/>
              </w:rPr>
              <w:t>（含），计</w:t>
            </w:r>
            <w:r>
              <w:rPr>
                <w:rFonts w:ascii="仿宋_GB2312" w:hAnsi="宋体" w:eastAsia="仿宋_GB2312" w:cs="宋体"/>
                <w:color w:val="auto"/>
                <w:kern w:val="0"/>
                <w:sz w:val="18"/>
                <w:szCs w:val="18"/>
              </w:rPr>
              <w:t>1</w:t>
            </w:r>
            <w:r>
              <w:rPr>
                <w:rFonts w:hint="eastAsia" w:ascii="仿宋_GB2312" w:hAnsi="宋体" w:eastAsia="仿宋_GB2312" w:cs="宋体"/>
                <w:color w:val="auto"/>
                <w:kern w:val="0"/>
                <w:sz w:val="18"/>
                <w:szCs w:val="18"/>
              </w:rPr>
              <w:t>分；</w:t>
            </w:r>
            <w:r>
              <w:rPr>
                <w:rFonts w:ascii="仿宋_GB2312" w:hAnsi="宋体" w:eastAsia="仿宋_GB2312" w:cs="宋体"/>
                <w:color w:val="auto"/>
                <w:kern w:val="0"/>
                <w:sz w:val="18"/>
                <w:szCs w:val="18"/>
              </w:rPr>
              <w:t>20-30%</w:t>
            </w:r>
            <w:r>
              <w:rPr>
                <w:rFonts w:hint="eastAsia" w:ascii="仿宋_GB2312" w:hAnsi="宋体" w:eastAsia="仿宋_GB2312" w:cs="宋体"/>
                <w:color w:val="auto"/>
                <w:kern w:val="0"/>
                <w:sz w:val="18"/>
                <w:szCs w:val="18"/>
              </w:rPr>
              <w:t>（含），计</w:t>
            </w:r>
            <w:r>
              <w:rPr>
                <w:rFonts w:ascii="仿宋_GB2312" w:hAnsi="宋体" w:eastAsia="仿宋_GB2312" w:cs="宋体"/>
                <w:color w:val="auto"/>
                <w:kern w:val="0"/>
                <w:sz w:val="18"/>
                <w:szCs w:val="18"/>
              </w:rPr>
              <w:t>0.5</w:t>
            </w:r>
            <w:r>
              <w:rPr>
                <w:rFonts w:hint="eastAsia" w:ascii="仿宋_GB2312" w:hAnsi="宋体" w:eastAsia="仿宋_GB2312" w:cs="宋体"/>
                <w:color w:val="auto"/>
                <w:kern w:val="0"/>
                <w:sz w:val="18"/>
                <w:szCs w:val="18"/>
              </w:rPr>
              <w:t>分；大于</w:t>
            </w:r>
            <w:r>
              <w:rPr>
                <w:rFonts w:ascii="仿宋_GB2312" w:hAnsi="宋体" w:eastAsia="仿宋_GB2312" w:cs="宋体"/>
                <w:color w:val="auto"/>
                <w:kern w:val="0"/>
                <w:sz w:val="18"/>
                <w:szCs w:val="18"/>
              </w:rPr>
              <w:t>30%</w:t>
            </w:r>
            <w:r>
              <w:rPr>
                <w:rFonts w:hint="eastAsia" w:ascii="仿宋_GB2312" w:hAnsi="宋体" w:eastAsia="仿宋_GB2312" w:cs="宋体"/>
                <w:color w:val="auto"/>
                <w:kern w:val="0"/>
                <w:sz w:val="18"/>
                <w:szCs w:val="18"/>
              </w:rPr>
              <w:t>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春节前下达全部专项资金的</w:t>
            </w:r>
            <w:r>
              <w:rPr>
                <w:rFonts w:ascii="仿宋_GB2312" w:hAnsi="宋体" w:eastAsia="仿宋_GB2312" w:cs="宋体"/>
                <w:color w:val="auto"/>
                <w:kern w:val="0"/>
                <w:sz w:val="18"/>
                <w:szCs w:val="18"/>
              </w:rPr>
              <w:t>50%</w:t>
            </w:r>
            <w:r>
              <w:rPr>
                <w:rFonts w:hint="eastAsia" w:ascii="仿宋_GB2312" w:hAnsi="宋体" w:eastAsia="仿宋_GB2312" w:cs="宋体"/>
                <w:color w:val="auto"/>
                <w:kern w:val="0"/>
                <w:sz w:val="18"/>
                <w:szCs w:val="18"/>
              </w:rPr>
              <w:t>；</w:t>
            </w:r>
            <w:r>
              <w:rPr>
                <w:rFonts w:ascii="仿宋_GB2312" w:hAnsi="宋体" w:eastAsia="仿宋_GB2312" w:cs="宋体"/>
                <w:color w:val="auto"/>
                <w:kern w:val="0"/>
                <w:sz w:val="18"/>
                <w:szCs w:val="18"/>
              </w:rPr>
              <w:t>6</w:t>
            </w:r>
            <w:r>
              <w:rPr>
                <w:rFonts w:hint="eastAsia" w:ascii="仿宋_GB2312" w:hAnsi="宋体" w:eastAsia="仿宋_GB2312" w:cs="宋体"/>
                <w:color w:val="auto"/>
                <w:kern w:val="0"/>
                <w:sz w:val="18"/>
                <w:szCs w:val="18"/>
              </w:rPr>
              <w:t>月底前所有专项资金指标全部下达完。</w:t>
            </w:r>
            <w:r>
              <w:rPr>
                <w:rFonts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每出现一个专项未按进度完成资金下达扣</w:t>
            </w:r>
            <w:r>
              <w:rPr>
                <w:rFonts w:ascii="仿宋_GB2312" w:hAnsi="宋体" w:eastAsia="仿宋_GB2312" w:cs="宋体"/>
                <w:color w:val="auto"/>
                <w:kern w:val="0"/>
                <w:sz w:val="18"/>
                <w:szCs w:val="18"/>
              </w:rPr>
              <w:t>0.5</w:t>
            </w:r>
            <w:r>
              <w:rPr>
                <w:rFonts w:hint="eastAsia" w:ascii="仿宋_GB2312" w:hAnsi="宋体" w:eastAsia="仿宋_GB2312" w:cs="宋体"/>
                <w:color w:val="auto"/>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无结余，</w:t>
            </w:r>
            <w:r>
              <w:rPr>
                <w:rFonts w:ascii="仿宋_GB2312" w:hAnsi="宋体" w:eastAsia="仿宋_GB2312" w:cs="宋体"/>
                <w:color w:val="auto"/>
                <w:kern w:val="0"/>
                <w:sz w:val="18"/>
                <w:szCs w:val="18"/>
              </w:rPr>
              <w:t>3</w:t>
            </w:r>
            <w:r>
              <w:rPr>
                <w:rFonts w:hint="eastAsia" w:ascii="仿宋_GB2312" w:hAnsi="宋体" w:eastAsia="仿宋_GB2312" w:cs="宋体"/>
                <w:color w:val="auto"/>
                <w:kern w:val="0"/>
                <w:sz w:val="18"/>
                <w:szCs w:val="18"/>
              </w:rPr>
              <w:t>分；有结余，但不超过上年结转，</w:t>
            </w:r>
            <w:r>
              <w:rPr>
                <w:rFonts w:ascii="仿宋_GB2312" w:hAnsi="宋体" w:eastAsia="仿宋_GB2312" w:cs="宋体"/>
                <w:color w:val="auto"/>
                <w:kern w:val="0"/>
                <w:sz w:val="18"/>
                <w:szCs w:val="18"/>
              </w:rPr>
              <w:t>2</w:t>
            </w:r>
            <w:r>
              <w:rPr>
                <w:rFonts w:hint="eastAsia" w:ascii="仿宋_GB2312" w:hAnsi="宋体" w:eastAsia="仿宋_GB2312" w:cs="宋体"/>
                <w:color w:val="auto"/>
                <w:kern w:val="0"/>
                <w:sz w:val="18"/>
                <w:szCs w:val="18"/>
              </w:rPr>
              <w:t>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“三公经费”</w:t>
            </w:r>
            <w:r>
              <w:rPr>
                <w:rFonts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以</w:t>
            </w:r>
            <w:r>
              <w:rPr>
                <w:rFonts w:ascii="仿宋_GB2312" w:hAnsi="宋体" w:eastAsia="仿宋_GB2312" w:cs="宋体"/>
                <w:color w:val="auto"/>
                <w:kern w:val="0"/>
                <w:sz w:val="18"/>
                <w:szCs w:val="18"/>
              </w:rPr>
              <w:t>100%</w:t>
            </w:r>
            <w:r>
              <w:rPr>
                <w:rFonts w:hint="eastAsia" w:ascii="仿宋_GB2312" w:hAnsi="宋体" w:eastAsia="仿宋_GB2312" w:cs="宋体"/>
                <w:color w:val="auto"/>
                <w:kern w:val="0"/>
                <w:sz w:val="18"/>
                <w:szCs w:val="18"/>
              </w:rPr>
              <w:t>为标准。三公经费控制率</w:t>
            </w:r>
            <w:r>
              <w:rPr>
                <w:rFonts w:hint="eastAsia" w:ascii="宋体" w:hAnsi="宋体" w:cs="宋体"/>
                <w:color w:val="auto"/>
                <w:kern w:val="0"/>
                <w:sz w:val="18"/>
                <w:szCs w:val="18"/>
              </w:rPr>
              <w:t>≦</w:t>
            </w:r>
            <w:r>
              <w:rPr>
                <w:rFonts w:ascii="仿宋_GB2312" w:hAnsi="宋体" w:eastAsia="仿宋_GB2312" w:cs="宋体"/>
                <w:color w:val="auto"/>
                <w:kern w:val="0"/>
                <w:sz w:val="18"/>
                <w:szCs w:val="18"/>
              </w:rPr>
              <w:t>100%</w:t>
            </w:r>
            <w:r>
              <w:rPr>
                <w:rFonts w:hint="eastAsia" w:ascii="仿宋_GB2312" w:hAnsi="宋体" w:eastAsia="仿宋_GB2312" w:cs="宋体"/>
                <w:color w:val="auto"/>
                <w:kern w:val="0"/>
                <w:sz w:val="18"/>
                <w:szCs w:val="18"/>
              </w:rPr>
              <w:t>，计</w:t>
            </w:r>
            <w:r>
              <w:rPr>
                <w:rFonts w:ascii="仿宋_GB2312" w:hAnsi="宋体" w:eastAsia="仿宋_GB2312" w:cs="宋体"/>
                <w:color w:val="auto"/>
                <w:kern w:val="0"/>
                <w:sz w:val="18"/>
                <w:szCs w:val="18"/>
              </w:rPr>
              <w:t>6</w:t>
            </w:r>
            <w:r>
              <w:rPr>
                <w:rFonts w:hint="eastAsia" w:ascii="仿宋_GB2312" w:hAnsi="宋体" w:eastAsia="仿宋_GB2312" w:cs="宋体"/>
                <w:color w:val="auto"/>
                <w:kern w:val="0"/>
                <w:sz w:val="18"/>
                <w:szCs w:val="18"/>
              </w:rPr>
              <w:t>分；</w:t>
            </w:r>
            <w:r>
              <w:rPr>
                <w:rFonts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每超过一个百分点扣</w:t>
            </w:r>
            <w:r>
              <w:rPr>
                <w:rFonts w:ascii="仿宋_GB2312" w:hAnsi="宋体" w:eastAsia="仿宋_GB2312" w:cs="宋体"/>
                <w:color w:val="auto"/>
                <w:kern w:val="0"/>
                <w:sz w:val="18"/>
                <w:szCs w:val="18"/>
              </w:rPr>
              <w:t>1</w:t>
            </w:r>
            <w:r>
              <w:rPr>
                <w:rFonts w:hint="eastAsia" w:ascii="仿宋_GB2312" w:hAnsi="宋体" w:eastAsia="仿宋_GB2312" w:cs="宋体"/>
                <w:color w:val="auto"/>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预算管理</w:t>
            </w:r>
            <w:r>
              <w:rPr>
                <w:rFonts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w:t>
            </w:r>
            <w:r>
              <w:rPr>
                <w:rFonts w:ascii="仿宋_GB2312" w:hAnsi="宋体" w:eastAsia="仿宋_GB2312" w:cs="宋体"/>
                <w:color w:val="auto"/>
                <w:kern w:val="0"/>
                <w:sz w:val="18"/>
                <w:szCs w:val="18"/>
              </w:rPr>
              <w:t>15</w:t>
            </w:r>
            <w:r>
              <w:rPr>
                <w:rFonts w:hint="eastAsia" w:ascii="仿宋_GB2312" w:hAnsi="宋体" w:eastAsia="仿宋_GB2312" w:cs="宋体"/>
                <w:color w:val="auto"/>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管理制度</w:t>
            </w:r>
            <w:r>
              <w:rPr>
                <w:rFonts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①已制定或具有预算资金管理办法，内部财务管理制度、会计核算制度等管理制度，</w:t>
            </w:r>
            <w:r>
              <w:rPr>
                <w:rFonts w:ascii="仿宋_GB2312" w:hAnsi="宋体" w:eastAsia="仿宋_GB2312" w:cs="宋体"/>
                <w:color w:val="auto"/>
                <w:kern w:val="0"/>
                <w:sz w:val="18"/>
                <w:szCs w:val="18"/>
              </w:rPr>
              <w:t>1</w:t>
            </w:r>
            <w:r>
              <w:rPr>
                <w:rFonts w:hint="eastAsia" w:ascii="仿宋_GB2312" w:hAnsi="宋体" w:eastAsia="仿宋_GB2312" w:cs="宋体"/>
                <w:color w:val="auto"/>
                <w:kern w:val="0"/>
                <w:sz w:val="18"/>
                <w:szCs w:val="18"/>
              </w:rPr>
              <w:t>分；</w:t>
            </w:r>
            <w:r>
              <w:rPr>
                <w:rFonts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②相关管理制度合法、合规、完整，</w:t>
            </w:r>
            <w:r>
              <w:rPr>
                <w:rFonts w:ascii="仿宋_GB2312" w:hAnsi="宋体" w:eastAsia="仿宋_GB2312" w:cs="宋体"/>
                <w:color w:val="auto"/>
                <w:kern w:val="0"/>
                <w:sz w:val="18"/>
                <w:szCs w:val="18"/>
              </w:rPr>
              <w:t>1</w:t>
            </w:r>
            <w:r>
              <w:rPr>
                <w:rFonts w:hint="eastAsia" w:ascii="仿宋_GB2312" w:hAnsi="宋体" w:eastAsia="仿宋_GB2312" w:cs="宋体"/>
                <w:color w:val="auto"/>
                <w:kern w:val="0"/>
                <w:sz w:val="18"/>
                <w:szCs w:val="18"/>
              </w:rPr>
              <w:t>分；</w:t>
            </w:r>
            <w:r>
              <w:rPr>
                <w:rFonts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③相关管理制度得到有效执行，</w:t>
            </w:r>
            <w:r>
              <w:rPr>
                <w:rFonts w:ascii="仿宋_GB2312" w:hAnsi="宋体" w:eastAsia="仿宋_GB2312" w:cs="宋体"/>
                <w:color w:val="auto"/>
                <w:kern w:val="0"/>
                <w:sz w:val="18"/>
                <w:szCs w:val="18"/>
              </w:rPr>
              <w:t>1</w:t>
            </w:r>
            <w:r>
              <w:rPr>
                <w:rFonts w:hint="eastAsia" w:ascii="仿宋_GB2312" w:hAnsi="宋体" w:eastAsia="仿宋_GB2312" w:cs="宋体"/>
                <w:color w:val="auto"/>
                <w:kern w:val="0"/>
                <w:sz w:val="18"/>
                <w:szCs w:val="18"/>
              </w:rPr>
              <w:t>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资金使用</w:t>
            </w:r>
            <w:r>
              <w:rPr>
                <w:rFonts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①支出符合国家财经法规和财务管理制度规定以及有关专项资金管理办法的规定；</w:t>
            </w:r>
            <w:r>
              <w:rPr>
                <w:rFonts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②资金拨付有完整的审批程序和手续；</w:t>
            </w:r>
            <w:r>
              <w:rPr>
                <w:rFonts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③项目支出按规定经过评估论证；</w:t>
            </w:r>
            <w:r>
              <w:rPr>
                <w:rFonts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④支出符合部门预算批复的用途；</w:t>
            </w:r>
            <w:r>
              <w:rPr>
                <w:rFonts w:ascii="仿宋_GB2312" w:hAnsi="宋体" w:eastAsia="仿宋_GB2312" w:cs="宋体"/>
                <w:color w:val="auto"/>
                <w:kern w:val="0"/>
                <w:sz w:val="18"/>
                <w:szCs w:val="18"/>
              </w:rPr>
              <w:br w:type="textWrapping"/>
            </w:r>
            <w:r>
              <w:rPr>
                <w:rFonts w:hint="eastAsia" w:ascii="仿宋_GB2312" w:hAnsi="宋体" w:eastAsia="仿宋_GB2312" w:cs="宋体"/>
                <w:color w:val="auto"/>
                <w:spacing w:val="-6"/>
                <w:kern w:val="0"/>
                <w:sz w:val="18"/>
                <w:szCs w:val="18"/>
              </w:rPr>
              <w:t>⑤资金使用无截留、挤占、挪用、虚列支出等情况。</w:t>
            </w:r>
            <w:r>
              <w:rPr>
                <w:rFonts w:ascii="仿宋_GB2312" w:hAnsi="宋体" w:eastAsia="仿宋_GB2312" w:cs="宋体"/>
                <w:color w:val="auto"/>
                <w:spacing w:val="-6"/>
                <w:kern w:val="0"/>
                <w:sz w:val="18"/>
                <w:szCs w:val="18"/>
              </w:rPr>
              <w:br w:type="textWrapping"/>
            </w:r>
            <w:r>
              <w:rPr>
                <w:rFonts w:hint="eastAsia" w:ascii="仿宋_GB2312" w:hAnsi="宋体" w:eastAsia="仿宋_GB2312" w:cs="宋体"/>
                <w:color w:val="auto"/>
                <w:spacing w:val="-6"/>
                <w:kern w:val="0"/>
                <w:sz w:val="18"/>
                <w:szCs w:val="18"/>
              </w:rPr>
              <w:t>以上情况每出现一例不符合要求的扣</w:t>
            </w:r>
            <w:r>
              <w:rPr>
                <w:rFonts w:ascii="仿宋_GB2312" w:hAnsi="宋体" w:eastAsia="仿宋_GB2312" w:cs="宋体"/>
                <w:color w:val="auto"/>
                <w:spacing w:val="-6"/>
                <w:kern w:val="0"/>
                <w:sz w:val="18"/>
                <w:szCs w:val="18"/>
              </w:rPr>
              <w:t>1</w:t>
            </w:r>
            <w:r>
              <w:rPr>
                <w:rFonts w:hint="eastAsia" w:ascii="仿宋_GB2312" w:hAnsi="宋体" w:eastAsia="仿宋_GB2312" w:cs="宋体"/>
                <w:color w:val="auto"/>
                <w:spacing w:val="-6"/>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预决算信息公开性和完善性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①按规定内容公开预决算信息，</w:t>
            </w:r>
            <w:r>
              <w:rPr>
                <w:rFonts w:ascii="仿宋_GB2312" w:hAnsi="宋体" w:eastAsia="仿宋_GB2312" w:cs="宋体"/>
                <w:color w:val="auto"/>
                <w:kern w:val="0"/>
                <w:sz w:val="18"/>
                <w:szCs w:val="18"/>
              </w:rPr>
              <w:t>1</w:t>
            </w:r>
            <w:r>
              <w:rPr>
                <w:rFonts w:hint="eastAsia" w:ascii="仿宋_GB2312" w:hAnsi="宋体" w:eastAsia="仿宋_GB2312" w:cs="宋体"/>
                <w:color w:val="auto"/>
                <w:kern w:val="0"/>
                <w:sz w:val="18"/>
                <w:szCs w:val="18"/>
              </w:rPr>
              <w:t>分；</w:t>
            </w:r>
            <w:r>
              <w:rPr>
                <w:rFonts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②按规定时限公开预决算信息，</w:t>
            </w:r>
            <w:r>
              <w:rPr>
                <w:rFonts w:ascii="仿宋_GB2312" w:hAnsi="宋体" w:eastAsia="仿宋_GB2312" w:cs="宋体"/>
                <w:color w:val="auto"/>
                <w:kern w:val="0"/>
                <w:sz w:val="18"/>
                <w:szCs w:val="18"/>
              </w:rPr>
              <w:t>0.5</w:t>
            </w:r>
            <w:r>
              <w:rPr>
                <w:rFonts w:hint="eastAsia" w:ascii="仿宋_GB2312" w:hAnsi="宋体" w:eastAsia="仿宋_GB2312" w:cs="宋体"/>
                <w:color w:val="auto"/>
                <w:kern w:val="0"/>
                <w:sz w:val="18"/>
                <w:szCs w:val="18"/>
              </w:rPr>
              <w:t>分；</w:t>
            </w:r>
            <w:r>
              <w:rPr>
                <w:rFonts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③基础数据信息和会计信息资料真实，</w:t>
            </w:r>
            <w:r>
              <w:rPr>
                <w:rFonts w:ascii="仿宋_GB2312" w:hAnsi="宋体" w:eastAsia="仿宋_GB2312" w:cs="宋体"/>
                <w:color w:val="auto"/>
                <w:kern w:val="0"/>
                <w:sz w:val="18"/>
                <w:szCs w:val="18"/>
              </w:rPr>
              <w:t>0.5</w:t>
            </w:r>
            <w:r>
              <w:rPr>
                <w:rFonts w:hint="eastAsia" w:ascii="仿宋_GB2312" w:hAnsi="宋体" w:eastAsia="仿宋_GB2312" w:cs="宋体"/>
                <w:color w:val="auto"/>
                <w:kern w:val="0"/>
                <w:sz w:val="18"/>
                <w:szCs w:val="18"/>
              </w:rPr>
              <w:t>分；</w:t>
            </w:r>
            <w:r>
              <w:rPr>
                <w:rFonts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④基础数据信息和会计信息资料完整，</w:t>
            </w:r>
            <w:r>
              <w:rPr>
                <w:rFonts w:ascii="仿宋_GB2312" w:hAnsi="宋体" w:eastAsia="仿宋_GB2312" w:cs="宋体"/>
                <w:color w:val="auto"/>
                <w:kern w:val="0"/>
                <w:sz w:val="18"/>
                <w:szCs w:val="18"/>
              </w:rPr>
              <w:t>0.5</w:t>
            </w:r>
            <w:r>
              <w:rPr>
                <w:rFonts w:hint="eastAsia" w:ascii="仿宋_GB2312" w:hAnsi="宋体" w:eastAsia="仿宋_GB2312" w:cs="宋体"/>
                <w:color w:val="auto"/>
                <w:kern w:val="0"/>
                <w:sz w:val="18"/>
                <w:szCs w:val="18"/>
              </w:rPr>
              <w:t>分；</w:t>
            </w:r>
            <w:r>
              <w:rPr>
                <w:rFonts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⑤基础数据信息和汇集信息资料准确，</w:t>
            </w:r>
            <w:r>
              <w:rPr>
                <w:rFonts w:ascii="仿宋_GB2312" w:hAnsi="宋体" w:eastAsia="仿宋_GB2312" w:cs="宋体"/>
                <w:color w:val="auto"/>
                <w:kern w:val="0"/>
                <w:sz w:val="18"/>
                <w:szCs w:val="18"/>
              </w:rPr>
              <w:t>0.5</w:t>
            </w:r>
            <w:r>
              <w:rPr>
                <w:rFonts w:hint="eastAsia" w:ascii="仿宋_GB2312" w:hAnsi="宋体" w:eastAsia="仿宋_GB2312" w:cs="宋体"/>
                <w:color w:val="auto"/>
                <w:kern w:val="0"/>
                <w:sz w:val="18"/>
                <w:szCs w:val="18"/>
              </w:rPr>
              <w:t>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政府采购</w:t>
            </w:r>
          </w:p>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执行率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政府采购执行率等于</w:t>
            </w:r>
            <w:r>
              <w:rPr>
                <w:rFonts w:ascii="仿宋_GB2312" w:hAnsi="宋体" w:eastAsia="仿宋_GB2312" w:cs="宋体"/>
                <w:color w:val="auto"/>
                <w:kern w:val="0"/>
                <w:sz w:val="18"/>
                <w:szCs w:val="18"/>
              </w:rPr>
              <w:t>100%</w:t>
            </w:r>
            <w:r>
              <w:rPr>
                <w:rFonts w:hint="eastAsia" w:ascii="仿宋_GB2312" w:hAnsi="宋体" w:eastAsia="仿宋_GB2312" w:cs="宋体"/>
                <w:color w:val="auto"/>
                <w:kern w:val="0"/>
                <w:sz w:val="18"/>
                <w:szCs w:val="18"/>
              </w:rPr>
              <w:t>的，得</w:t>
            </w:r>
            <w:r>
              <w:rPr>
                <w:rFonts w:ascii="仿宋_GB2312" w:hAnsi="宋体" w:eastAsia="仿宋_GB2312" w:cs="宋体"/>
                <w:color w:val="auto"/>
                <w:kern w:val="0"/>
                <w:sz w:val="18"/>
                <w:szCs w:val="18"/>
              </w:rPr>
              <w:t>3</w:t>
            </w:r>
            <w:r>
              <w:rPr>
                <w:rFonts w:hint="eastAsia" w:ascii="仿宋_GB2312" w:hAnsi="宋体" w:eastAsia="仿宋_GB2312" w:cs="宋体"/>
                <w:color w:val="auto"/>
                <w:kern w:val="0"/>
                <w:sz w:val="18"/>
                <w:szCs w:val="18"/>
              </w:rPr>
              <w:t>分；</w:t>
            </w:r>
            <w:r>
              <w:rPr>
                <w:rFonts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每减少一个百分点，扣</w:t>
            </w:r>
            <w:r>
              <w:rPr>
                <w:rFonts w:ascii="仿宋_GB2312" w:hAnsi="宋体" w:eastAsia="仿宋_GB2312" w:cs="宋体"/>
                <w:color w:val="auto"/>
                <w:kern w:val="0"/>
                <w:sz w:val="18"/>
                <w:szCs w:val="18"/>
              </w:rPr>
              <w:t>0.2</w:t>
            </w:r>
            <w:r>
              <w:rPr>
                <w:rFonts w:hint="eastAsia" w:ascii="仿宋_GB2312" w:hAnsi="宋体" w:eastAsia="仿宋_GB2312" w:cs="宋体"/>
                <w:color w:val="auto"/>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公务卡刷卡率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公务卡刷卡率达</w:t>
            </w:r>
            <w:r>
              <w:rPr>
                <w:rFonts w:ascii="仿宋_GB2312" w:hAnsi="宋体" w:eastAsia="仿宋_GB2312" w:cs="宋体"/>
                <w:color w:val="auto"/>
                <w:kern w:val="0"/>
                <w:sz w:val="18"/>
                <w:szCs w:val="18"/>
              </w:rPr>
              <w:t>50</w:t>
            </w:r>
            <w:r>
              <w:rPr>
                <w:rFonts w:hint="eastAsia" w:ascii="仿宋_GB2312" w:hAnsi="宋体" w:eastAsia="仿宋_GB2312" w:cs="宋体"/>
                <w:color w:val="auto"/>
                <w:kern w:val="0"/>
                <w:sz w:val="18"/>
                <w:szCs w:val="18"/>
              </w:rPr>
              <w:t>％以上的，得</w:t>
            </w:r>
            <w:r>
              <w:rPr>
                <w:rFonts w:ascii="仿宋_GB2312" w:hAnsi="宋体" w:eastAsia="仿宋_GB2312" w:cs="宋体"/>
                <w:color w:val="auto"/>
                <w:kern w:val="0"/>
                <w:sz w:val="18"/>
                <w:szCs w:val="18"/>
              </w:rPr>
              <w:t>3</w:t>
            </w:r>
            <w:r>
              <w:rPr>
                <w:rFonts w:hint="eastAsia" w:ascii="仿宋_GB2312" w:hAnsi="宋体" w:eastAsia="仿宋_GB2312" w:cs="宋体"/>
                <w:color w:val="auto"/>
                <w:kern w:val="0"/>
                <w:sz w:val="18"/>
                <w:szCs w:val="18"/>
              </w:rPr>
              <w:t>分。</w:t>
            </w:r>
            <w:r>
              <w:rPr>
                <w:rFonts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每减少一个百分点，扣</w:t>
            </w:r>
            <w:r>
              <w:rPr>
                <w:rFonts w:ascii="仿宋_GB2312" w:hAnsi="宋体" w:eastAsia="仿宋_GB2312" w:cs="宋体"/>
                <w:color w:val="auto"/>
                <w:kern w:val="0"/>
                <w:sz w:val="18"/>
                <w:szCs w:val="18"/>
              </w:rPr>
              <w:t>0.2</w:t>
            </w:r>
            <w:r>
              <w:rPr>
                <w:rFonts w:hint="eastAsia" w:ascii="仿宋_GB2312" w:hAnsi="宋体" w:eastAsia="仿宋_GB2312" w:cs="宋体"/>
                <w:color w:val="auto"/>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93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资产管理</w:t>
            </w:r>
            <w:r>
              <w:rPr>
                <w:rFonts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w:t>
            </w:r>
            <w:r>
              <w:rPr>
                <w:rFonts w:ascii="仿宋_GB2312" w:hAnsi="宋体" w:eastAsia="仿宋_GB2312" w:cs="宋体"/>
                <w:color w:val="auto"/>
                <w:kern w:val="0"/>
                <w:sz w:val="18"/>
                <w:szCs w:val="18"/>
              </w:rPr>
              <w:t>10</w:t>
            </w:r>
            <w:r>
              <w:rPr>
                <w:rFonts w:hint="eastAsia" w:ascii="仿宋_GB2312" w:hAnsi="宋体" w:eastAsia="仿宋_GB2312" w:cs="宋体"/>
                <w:color w:val="auto"/>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管理制度</w:t>
            </w:r>
            <w:r>
              <w:rPr>
                <w:rFonts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①已制定或具有资产管理制度，且相关资产管理制度合法、合规、完整，</w:t>
            </w:r>
            <w:r>
              <w:rPr>
                <w:rFonts w:ascii="仿宋_GB2312" w:hAnsi="宋体" w:eastAsia="仿宋_GB2312" w:cs="宋体"/>
                <w:color w:val="auto"/>
                <w:kern w:val="0"/>
                <w:sz w:val="18"/>
                <w:szCs w:val="18"/>
              </w:rPr>
              <w:t>2</w:t>
            </w:r>
            <w:r>
              <w:rPr>
                <w:rFonts w:hint="eastAsia" w:ascii="仿宋_GB2312" w:hAnsi="宋体" w:eastAsia="仿宋_GB2312" w:cs="宋体"/>
                <w:color w:val="auto"/>
                <w:kern w:val="0"/>
                <w:sz w:val="18"/>
                <w:szCs w:val="18"/>
              </w:rPr>
              <w:t>分；</w:t>
            </w:r>
            <w:r>
              <w:rPr>
                <w:rFonts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②相关资产管理制度得到有效执行，</w:t>
            </w:r>
            <w:r>
              <w:rPr>
                <w:rFonts w:ascii="仿宋_GB2312" w:hAnsi="宋体" w:eastAsia="仿宋_GB2312" w:cs="宋体"/>
                <w:color w:val="auto"/>
                <w:kern w:val="0"/>
                <w:sz w:val="18"/>
                <w:szCs w:val="18"/>
              </w:rPr>
              <w:t>1</w:t>
            </w:r>
            <w:r>
              <w:rPr>
                <w:rFonts w:hint="eastAsia" w:ascii="仿宋_GB2312" w:hAnsi="宋体" w:eastAsia="仿宋_GB2312" w:cs="宋体"/>
                <w:color w:val="auto"/>
                <w:kern w:val="0"/>
                <w:sz w:val="18"/>
                <w:szCs w:val="18"/>
              </w:rPr>
              <w:t>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color w:val="auto"/>
                <w:kern w:val="0"/>
                <w:sz w:val="18"/>
                <w:szCs w:val="18"/>
              </w:rPr>
            </w:pPr>
          </w:p>
        </w:tc>
      </w:tr>
    </w:tbl>
    <w:p>
      <w:pPr>
        <w:rPr>
          <w:color w:val="auto"/>
        </w:rPr>
      </w:pPr>
    </w:p>
    <w:tbl>
      <w:tblPr>
        <w:tblStyle w:val="7"/>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二级指标</w:t>
            </w:r>
          </w:p>
        </w:tc>
        <w:tc>
          <w:tcPr>
            <w:tcW w:w="138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三级指标</w:t>
            </w:r>
          </w:p>
        </w:tc>
        <w:tc>
          <w:tcPr>
            <w:tcW w:w="41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评分标准</w:t>
            </w:r>
          </w:p>
        </w:tc>
        <w:tc>
          <w:tcPr>
            <w:tcW w:w="6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color w:val="auto"/>
                <w:spacing w:val="-12"/>
                <w:kern w:val="0"/>
                <w:sz w:val="18"/>
                <w:szCs w:val="18"/>
              </w:rPr>
            </w:pPr>
            <w:r>
              <w:rPr>
                <w:rFonts w:hint="eastAsia" w:ascii="仿宋_GB2312" w:hAnsi="宋体" w:eastAsia="仿宋_GB2312" w:cs="宋体"/>
                <w:b/>
                <w:bCs/>
                <w:color w:val="auto"/>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过程</w:t>
            </w:r>
          </w:p>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w:t>
            </w:r>
            <w:r>
              <w:rPr>
                <w:rFonts w:ascii="仿宋_GB2312" w:hAnsi="宋体" w:eastAsia="仿宋_GB2312" w:cs="宋体"/>
                <w:color w:val="auto"/>
                <w:kern w:val="0"/>
                <w:sz w:val="18"/>
                <w:szCs w:val="18"/>
              </w:rPr>
              <w:t>40</w:t>
            </w:r>
            <w:r>
              <w:rPr>
                <w:rFonts w:hint="eastAsia" w:ascii="仿宋_GB2312" w:hAnsi="宋体" w:eastAsia="仿宋_GB2312" w:cs="宋体"/>
                <w:color w:val="auto"/>
                <w:kern w:val="0"/>
                <w:sz w:val="18"/>
                <w:szCs w:val="18"/>
              </w:rPr>
              <w:t>分）</w:t>
            </w:r>
          </w:p>
        </w:tc>
        <w:tc>
          <w:tcPr>
            <w:tcW w:w="93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资产管理</w:t>
            </w:r>
            <w:r>
              <w:rPr>
                <w:rFonts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w:t>
            </w:r>
            <w:r>
              <w:rPr>
                <w:rFonts w:ascii="仿宋_GB2312" w:hAnsi="宋体" w:eastAsia="仿宋_GB2312" w:cs="宋体"/>
                <w:color w:val="auto"/>
                <w:kern w:val="0"/>
                <w:sz w:val="18"/>
                <w:szCs w:val="18"/>
              </w:rPr>
              <w:t>10</w:t>
            </w:r>
            <w:r>
              <w:rPr>
                <w:rFonts w:hint="eastAsia" w:ascii="仿宋_GB2312" w:hAnsi="宋体" w:eastAsia="仿宋_GB2312" w:cs="宋体"/>
                <w:color w:val="auto"/>
                <w:kern w:val="0"/>
                <w:sz w:val="18"/>
                <w:szCs w:val="18"/>
              </w:rPr>
              <w:t>分）</w:t>
            </w:r>
          </w:p>
        </w:tc>
        <w:tc>
          <w:tcPr>
            <w:tcW w:w="138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资产管理</w:t>
            </w:r>
            <w:r>
              <w:rPr>
                <w:rFonts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安全性</w:t>
            </w:r>
          </w:p>
        </w:tc>
        <w:tc>
          <w:tcPr>
            <w:tcW w:w="417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①资产保存完整；</w:t>
            </w:r>
            <w:r>
              <w:rPr>
                <w:rFonts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②资产配置合理；</w:t>
            </w:r>
            <w:r>
              <w:rPr>
                <w:rFonts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③资产处置规范；</w:t>
            </w:r>
            <w:r>
              <w:rPr>
                <w:rFonts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④资产账务管理合规，帐实相符；</w:t>
            </w:r>
            <w:r>
              <w:rPr>
                <w:rFonts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⑤资产有偿使用及处置收入及时足额上缴；</w:t>
            </w:r>
            <w:r>
              <w:rPr>
                <w:rFonts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以上情况每出现一例不符合有关要求的扣</w:t>
            </w:r>
            <w:r>
              <w:rPr>
                <w:rFonts w:ascii="仿宋_GB2312" w:hAnsi="宋体" w:eastAsia="仿宋_GB2312" w:cs="宋体"/>
                <w:color w:val="auto"/>
                <w:kern w:val="0"/>
                <w:sz w:val="18"/>
                <w:szCs w:val="18"/>
              </w:rPr>
              <w:t>1</w:t>
            </w:r>
            <w:r>
              <w:rPr>
                <w:rFonts w:hint="eastAsia" w:ascii="仿宋_GB2312" w:hAnsi="宋体" w:eastAsia="仿宋_GB2312" w:cs="宋体"/>
                <w:color w:val="auto"/>
                <w:kern w:val="0"/>
                <w:sz w:val="18"/>
                <w:szCs w:val="18"/>
              </w:rPr>
              <w:t>分，扣完为止。</w:t>
            </w:r>
          </w:p>
        </w:tc>
        <w:tc>
          <w:tcPr>
            <w:tcW w:w="6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固定资产</w:t>
            </w:r>
            <w:r>
              <w:rPr>
                <w:rFonts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利用率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每低于</w:t>
            </w:r>
            <w:r>
              <w:rPr>
                <w:rFonts w:ascii="仿宋_GB2312" w:hAnsi="宋体" w:eastAsia="仿宋_GB2312" w:cs="宋体"/>
                <w:color w:val="auto"/>
                <w:kern w:val="0"/>
                <w:sz w:val="18"/>
                <w:szCs w:val="18"/>
              </w:rPr>
              <w:t>100%</w:t>
            </w:r>
            <w:r>
              <w:rPr>
                <w:rFonts w:hint="eastAsia" w:ascii="仿宋_GB2312" w:hAnsi="宋体" w:eastAsia="仿宋_GB2312" w:cs="宋体"/>
                <w:color w:val="auto"/>
                <w:kern w:val="0"/>
                <w:sz w:val="18"/>
                <w:szCs w:val="18"/>
              </w:rPr>
              <w:t>一个百分点扣</w:t>
            </w:r>
            <w:r>
              <w:rPr>
                <w:rFonts w:ascii="仿宋_GB2312" w:hAnsi="宋体" w:eastAsia="仿宋_GB2312" w:cs="宋体"/>
                <w:color w:val="auto"/>
                <w:kern w:val="0"/>
                <w:sz w:val="18"/>
                <w:szCs w:val="18"/>
              </w:rPr>
              <w:t>0.1</w:t>
            </w:r>
            <w:r>
              <w:rPr>
                <w:rFonts w:hint="eastAsia" w:ascii="仿宋_GB2312" w:hAnsi="宋体" w:eastAsia="仿宋_GB2312" w:cs="宋体"/>
                <w:color w:val="auto"/>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产出（</w:t>
            </w:r>
            <w:r>
              <w:rPr>
                <w:rFonts w:ascii="仿宋_GB2312" w:hAnsi="宋体" w:eastAsia="仿宋_GB2312" w:cs="宋体"/>
                <w:color w:val="auto"/>
                <w:kern w:val="0"/>
                <w:sz w:val="18"/>
                <w:szCs w:val="18"/>
              </w:rPr>
              <w:t>25</w:t>
            </w:r>
            <w:r>
              <w:rPr>
                <w:rFonts w:hint="eastAsia" w:ascii="仿宋_GB2312" w:hAnsi="宋体" w:eastAsia="仿宋_GB2312" w:cs="宋体"/>
                <w:color w:val="auto"/>
                <w:kern w:val="0"/>
                <w:sz w:val="18"/>
                <w:szCs w:val="18"/>
              </w:rPr>
              <w:t>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职责履行</w:t>
            </w:r>
            <w:r>
              <w:rPr>
                <w:rFonts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w:t>
            </w:r>
            <w:r>
              <w:rPr>
                <w:rFonts w:ascii="仿宋_GB2312" w:hAnsi="宋体" w:eastAsia="仿宋_GB2312" w:cs="宋体"/>
                <w:color w:val="auto"/>
                <w:kern w:val="0"/>
                <w:sz w:val="18"/>
                <w:szCs w:val="18"/>
              </w:rPr>
              <w:t>25</w:t>
            </w:r>
            <w:r>
              <w:rPr>
                <w:rFonts w:hint="eastAsia" w:ascii="仿宋_GB2312" w:hAnsi="宋体" w:eastAsia="仿宋_GB2312" w:cs="宋体"/>
                <w:color w:val="auto"/>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此项指标根据《中共岳阳市委岳阳市人民政府关于做好岳阳市加快推进湖南发展新增长极建设</w:t>
            </w:r>
            <w:r>
              <w:rPr>
                <w:rFonts w:ascii="仿宋_GB2312" w:hAnsi="宋体" w:eastAsia="仿宋_GB2312" w:cs="宋体"/>
                <w:color w:val="auto"/>
                <w:kern w:val="0"/>
                <w:sz w:val="18"/>
                <w:szCs w:val="18"/>
              </w:rPr>
              <w:t>2015</w:t>
            </w:r>
            <w:r>
              <w:rPr>
                <w:rFonts w:hint="eastAsia" w:ascii="仿宋_GB2312" w:hAnsi="宋体" w:eastAsia="仿宋_GB2312" w:cs="宋体"/>
                <w:color w:val="auto"/>
                <w:kern w:val="0"/>
                <w:sz w:val="18"/>
                <w:szCs w:val="18"/>
              </w:rPr>
              <w:t>年度综合绩效考评工作的通知》（岳发〔</w:t>
            </w:r>
            <w:r>
              <w:rPr>
                <w:rFonts w:ascii="仿宋_GB2312" w:hAnsi="宋体" w:eastAsia="仿宋_GB2312" w:cs="宋体"/>
                <w:color w:val="auto"/>
                <w:kern w:val="0"/>
                <w:sz w:val="18"/>
                <w:szCs w:val="18"/>
              </w:rPr>
              <w:t>2015</w:t>
            </w:r>
            <w:r>
              <w:rPr>
                <w:rFonts w:hint="eastAsia" w:ascii="仿宋_GB2312" w:hAnsi="宋体" w:eastAsia="仿宋_GB2312" w:cs="宋体"/>
                <w:color w:val="auto"/>
                <w:kern w:val="0"/>
                <w:sz w:val="18"/>
                <w:szCs w:val="18"/>
              </w:rPr>
              <w:t>〕</w:t>
            </w:r>
            <w:r>
              <w:rPr>
                <w:rFonts w:ascii="仿宋_GB2312" w:hAnsi="宋体" w:eastAsia="仿宋_GB2312" w:cs="宋体"/>
                <w:color w:val="auto"/>
                <w:kern w:val="0"/>
                <w:sz w:val="18"/>
                <w:szCs w:val="18"/>
              </w:rPr>
              <w:t>11</w:t>
            </w:r>
            <w:r>
              <w:rPr>
                <w:rFonts w:hint="eastAsia" w:ascii="仿宋_GB2312" w:hAnsi="宋体" w:eastAsia="仿宋_GB2312" w:cs="宋体"/>
                <w:color w:val="auto"/>
                <w:kern w:val="0"/>
                <w:sz w:val="18"/>
                <w:szCs w:val="18"/>
              </w:rPr>
              <w:t>号）和《中共岳阳市委岳阳市人民政府关于做好</w:t>
            </w:r>
            <w:r>
              <w:rPr>
                <w:rFonts w:ascii="仿宋_GB2312" w:hAnsi="宋体" w:eastAsia="仿宋_GB2312" w:cs="宋体"/>
                <w:color w:val="auto"/>
                <w:kern w:val="0"/>
                <w:sz w:val="18"/>
                <w:szCs w:val="18"/>
              </w:rPr>
              <w:t>2015</w:t>
            </w:r>
            <w:r>
              <w:rPr>
                <w:rFonts w:hint="eastAsia" w:ascii="仿宋_GB2312" w:hAnsi="宋体" w:eastAsia="仿宋_GB2312" w:cs="宋体"/>
                <w:color w:val="auto"/>
                <w:kern w:val="0"/>
                <w:sz w:val="18"/>
                <w:szCs w:val="18"/>
              </w:rPr>
              <w:t>年度综合绩效考评工作的补充通知》（岳发〔</w:t>
            </w:r>
            <w:r>
              <w:rPr>
                <w:rFonts w:ascii="仿宋_GB2312" w:hAnsi="宋体" w:eastAsia="仿宋_GB2312" w:cs="宋体"/>
                <w:color w:val="auto"/>
                <w:kern w:val="0"/>
                <w:sz w:val="18"/>
                <w:szCs w:val="18"/>
              </w:rPr>
              <w:t>2015</w:t>
            </w:r>
            <w:r>
              <w:rPr>
                <w:rFonts w:hint="eastAsia" w:ascii="仿宋_GB2312" w:hAnsi="宋体" w:eastAsia="仿宋_GB2312" w:cs="宋体"/>
                <w:color w:val="auto"/>
                <w:kern w:val="0"/>
                <w:sz w:val="18"/>
                <w:szCs w:val="18"/>
              </w:rPr>
              <w:t>〕</w:t>
            </w:r>
            <w:r>
              <w:rPr>
                <w:rFonts w:ascii="仿宋_GB2312" w:hAnsi="宋体" w:eastAsia="仿宋_GB2312" w:cs="宋体"/>
                <w:color w:val="auto"/>
                <w:kern w:val="0"/>
                <w:sz w:val="18"/>
                <w:szCs w:val="18"/>
              </w:rPr>
              <w:t>19</w:t>
            </w:r>
            <w:r>
              <w:rPr>
                <w:rFonts w:hint="eastAsia" w:ascii="仿宋_GB2312" w:hAnsi="宋体" w:eastAsia="仿宋_GB2312" w:cs="宋体"/>
                <w:color w:val="auto"/>
                <w:kern w:val="0"/>
                <w:sz w:val="18"/>
                <w:szCs w:val="18"/>
              </w:rPr>
              <w:t>号）附件</w:t>
            </w:r>
            <w:r>
              <w:rPr>
                <w:rFonts w:ascii="仿宋_GB2312" w:hAnsi="宋体" w:eastAsia="仿宋_GB2312" w:cs="宋体"/>
                <w:color w:val="auto"/>
                <w:kern w:val="0"/>
                <w:sz w:val="18"/>
                <w:szCs w:val="18"/>
              </w:rPr>
              <w:t>2</w:t>
            </w:r>
            <w:r>
              <w:rPr>
                <w:rFonts w:hint="eastAsia" w:ascii="仿宋_GB2312" w:hAnsi="宋体" w:eastAsia="仿宋_GB2312" w:cs="宋体"/>
                <w:color w:val="auto"/>
                <w:kern w:val="0"/>
                <w:sz w:val="18"/>
                <w:szCs w:val="18"/>
              </w:rPr>
              <w:t>第一大项“工作实绩指标”（</w:t>
            </w:r>
            <w:r>
              <w:rPr>
                <w:rFonts w:ascii="仿宋_GB2312" w:hAnsi="宋体" w:eastAsia="仿宋_GB2312" w:cs="宋体"/>
                <w:color w:val="auto"/>
                <w:kern w:val="0"/>
                <w:sz w:val="18"/>
                <w:szCs w:val="18"/>
              </w:rPr>
              <w:t>700</w:t>
            </w:r>
            <w:r>
              <w:rPr>
                <w:rFonts w:hint="eastAsia" w:ascii="仿宋_GB2312" w:hAnsi="宋体" w:eastAsia="仿宋_GB2312" w:cs="宋体"/>
                <w:color w:val="auto"/>
                <w:kern w:val="0"/>
                <w:sz w:val="18"/>
                <w:szCs w:val="18"/>
              </w:rPr>
              <w:t>分）考核内容设置。</w:t>
            </w:r>
            <w:r>
              <w:rPr>
                <w:rFonts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效果</w:t>
            </w:r>
            <w:r>
              <w:rPr>
                <w:rFonts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w:t>
            </w:r>
            <w:r>
              <w:rPr>
                <w:rFonts w:ascii="仿宋_GB2312" w:hAnsi="宋体" w:eastAsia="仿宋_GB2312" w:cs="宋体"/>
                <w:color w:val="auto"/>
                <w:kern w:val="0"/>
                <w:sz w:val="18"/>
                <w:szCs w:val="18"/>
              </w:rPr>
              <w:t>20</w:t>
            </w:r>
            <w:r>
              <w:rPr>
                <w:rFonts w:hint="eastAsia" w:ascii="仿宋_GB2312" w:hAnsi="宋体" w:eastAsia="仿宋_GB2312" w:cs="宋体"/>
                <w:color w:val="auto"/>
                <w:kern w:val="0"/>
                <w:sz w:val="18"/>
                <w:szCs w:val="18"/>
              </w:rPr>
              <w:t>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履职效益</w:t>
            </w:r>
            <w:r>
              <w:rPr>
                <w:rFonts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w:t>
            </w:r>
            <w:r>
              <w:rPr>
                <w:rFonts w:ascii="仿宋_GB2312" w:hAnsi="宋体" w:eastAsia="仿宋_GB2312" w:cs="宋体"/>
                <w:color w:val="auto"/>
                <w:kern w:val="0"/>
                <w:sz w:val="18"/>
                <w:szCs w:val="18"/>
              </w:rPr>
              <w:t>20</w:t>
            </w:r>
            <w:r>
              <w:rPr>
                <w:rFonts w:hint="eastAsia" w:ascii="仿宋_GB2312" w:hAnsi="宋体" w:eastAsia="仿宋_GB2312" w:cs="宋体"/>
                <w:color w:val="auto"/>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61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6</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61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95%</w:t>
            </w:r>
            <w:r>
              <w:rPr>
                <w:rFonts w:hint="eastAsia" w:ascii="仿宋_GB2312" w:hAnsi="宋体" w:eastAsia="仿宋_GB2312" w:cs="宋体"/>
                <w:color w:val="auto"/>
                <w:kern w:val="0"/>
                <w:sz w:val="18"/>
                <w:szCs w:val="18"/>
              </w:rPr>
              <w:t>（含）以上计</w:t>
            </w:r>
            <w:r>
              <w:rPr>
                <w:rFonts w:ascii="仿宋_GB2312" w:hAnsi="宋体" w:eastAsia="仿宋_GB2312" w:cs="宋体"/>
                <w:color w:val="auto"/>
                <w:kern w:val="0"/>
                <w:sz w:val="18"/>
                <w:szCs w:val="18"/>
              </w:rPr>
              <w:t>5</w:t>
            </w:r>
            <w:r>
              <w:rPr>
                <w:rFonts w:hint="eastAsia" w:ascii="仿宋_GB2312" w:hAnsi="宋体" w:eastAsia="仿宋_GB2312" w:cs="宋体"/>
                <w:color w:val="auto"/>
                <w:kern w:val="0"/>
                <w:sz w:val="18"/>
                <w:szCs w:val="18"/>
              </w:rPr>
              <w:t>分；</w:t>
            </w:r>
          </w:p>
          <w:p>
            <w:pPr>
              <w:widowControl/>
              <w:spacing w:line="240" w:lineRule="exact"/>
              <w:jc w:val="left"/>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85%</w:t>
            </w:r>
            <w:r>
              <w:rPr>
                <w:rFonts w:hint="eastAsia" w:ascii="仿宋_GB2312" w:hAnsi="宋体" w:eastAsia="仿宋_GB2312" w:cs="宋体"/>
                <w:color w:val="auto"/>
                <w:kern w:val="0"/>
                <w:sz w:val="18"/>
                <w:szCs w:val="18"/>
              </w:rPr>
              <w:t>（含）</w:t>
            </w:r>
            <w:r>
              <w:rPr>
                <w:rFonts w:ascii="仿宋_GB2312" w:hAnsi="宋体" w:eastAsia="仿宋_GB2312" w:cs="宋体"/>
                <w:color w:val="auto"/>
                <w:kern w:val="0"/>
                <w:sz w:val="18"/>
                <w:szCs w:val="18"/>
              </w:rPr>
              <w:t>-95%</w:t>
            </w:r>
            <w:r>
              <w:rPr>
                <w:rFonts w:hint="eastAsia" w:ascii="仿宋_GB2312" w:hAnsi="宋体" w:eastAsia="仿宋_GB2312" w:cs="宋体"/>
                <w:color w:val="auto"/>
                <w:kern w:val="0"/>
                <w:sz w:val="18"/>
                <w:szCs w:val="18"/>
              </w:rPr>
              <w:t>，计</w:t>
            </w:r>
            <w:r>
              <w:rPr>
                <w:rFonts w:ascii="仿宋_GB2312" w:hAnsi="宋体" w:eastAsia="仿宋_GB2312" w:cs="宋体"/>
                <w:color w:val="auto"/>
                <w:kern w:val="0"/>
                <w:sz w:val="18"/>
                <w:szCs w:val="18"/>
              </w:rPr>
              <w:t>3</w:t>
            </w:r>
            <w:r>
              <w:rPr>
                <w:rFonts w:hint="eastAsia" w:ascii="仿宋_GB2312" w:hAnsi="宋体" w:eastAsia="仿宋_GB2312" w:cs="宋体"/>
                <w:color w:val="auto"/>
                <w:kern w:val="0"/>
                <w:sz w:val="18"/>
                <w:szCs w:val="18"/>
              </w:rPr>
              <w:t>分；</w:t>
            </w:r>
          </w:p>
          <w:p>
            <w:pPr>
              <w:widowControl/>
              <w:spacing w:line="240" w:lineRule="exact"/>
              <w:jc w:val="left"/>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75%</w:t>
            </w:r>
            <w:r>
              <w:rPr>
                <w:rFonts w:hint="eastAsia" w:ascii="仿宋_GB2312" w:hAnsi="宋体" w:eastAsia="仿宋_GB2312" w:cs="宋体"/>
                <w:color w:val="auto"/>
                <w:kern w:val="0"/>
                <w:sz w:val="18"/>
                <w:szCs w:val="18"/>
              </w:rPr>
              <w:t>（含）</w:t>
            </w:r>
            <w:r>
              <w:rPr>
                <w:rFonts w:ascii="仿宋_GB2312" w:hAnsi="宋体" w:eastAsia="仿宋_GB2312" w:cs="宋体"/>
                <w:color w:val="auto"/>
                <w:kern w:val="0"/>
                <w:sz w:val="18"/>
                <w:szCs w:val="18"/>
              </w:rPr>
              <w:t>-85%</w:t>
            </w:r>
            <w:r>
              <w:rPr>
                <w:rFonts w:hint="eastAsia" w:ascii="仿宋_GB2312" w:hAnsi="宋体" w:eastAsia="仿宋_GB2312" w:cs="宋体"/>
                <w:color w:val="auto"/>
                <w:kern w:val="0"/>
                <w:sz w:val="18"/>
                <w:szCs w:val="18"/>
              </w:rPr>
              <w:t>，计</w:t>
            </w:r>
            <w:r>
              <w:rPr>
                <w:rFonts w:ascii="仿宋_GB2312" w:hAnsi="宋体" w:eastAsia="仿宋_GB2312" w:cs="宋体"/>
                <w:color w:val="auto"/>
                <w:kern w:val="0"/>
                <w:sz w:val="18"/>
                <w:szCs w:val="18"/>
              </w:rPr>
              <w:t>1</w:t>
            </w:r>
            <w:r>
              <w:rPr>
                <w:rFonts w:hint="eastAsia" w:ascii="仿宋_GB2312" w:hAnsi="宋体" w:eastAsia="仿宋_GB2312" w:cs="宋体"/>
                <w:color w:val="auto"/>
                <w:kern w:val="0"/>
                <w:sz w:val="18"/>
                <w:szCs w:val="18"/>
              </w:rPr>
              <w:t>分；</w:t>
            </w:r>
          </w:p>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低于</w:t>
            </w:r>
            <w:r>
              <w:rPr>
                <w:rFonts w:ascii="仿宋_GB2312" w:hAnsi="宋体" w:eastAsia="仿宋_GB2312" w:cs="宋体"/>
                <w:color w:val="auto"/>
                <w:kern w:val="0"/>
                <w:sz w:val="18"/>
                <w:szCs w:val="18"/>
              </w:rPr>
              <w:t>75%</w:t>
            </w:r>
            <w:r>
              <w:rPr>
                <w:rFonts w:hint="eastAsia" w:ascii="仿宋_GB2312" w:hAnsi="宋体" w:eastAsia="仿宋_GB2312" w:cs="宋体"/>
                <w:color w:val="auto"/>
                <w:kern w:val="0"/>
                <w:sz w:val="18"/>
                <w:szCs w:val="18"/>
              </w:rPr>
              <w:t>计</w:t>
            </w:r>
            <w:r>
              <w:rPr>
                <w:rFonts w:ascii="仿宋_GB2312" w:hAnsi="宋体" w:eastAsia="仿宋_GB2312" w:cs="宋体"/>
                <w:color w:val="auto"/>
                <w:kern w:val="0"/>
                <w:sz w:val="18"/>
                <w:szCs w:val="18"/>
              </w:rPr>
              <w:t>0</w:t>
            </w:r>
            <w:r>
              <w:rPr>
                <w:rFonts w:hint="eastAsia" w:ascii="仿宋_GB2312" w:hAnsi="宋体" w:eastAsia="仿宋_GB2312" w:cs="宋体"/>
                <w:color w:val="auto"/>
                <w:kern w:val="0"/>
                <w:sz w:val="18"/>
                <w:szCs w:val="18"/>
              </w:rPr>
              <w:t>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总分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color w:val="auto"/>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color w:val="auto"/>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color w:val="auto"/>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color w:val="auto"/>
                <w:spacing w:val="-8"/>
                <w:kern w:val="0"/>
                <w:sz w:val="18"/>
                <w:szCs w:val="18"/>
              </w:rPr>
            </w:pPr>
            <w:r>
              <w:rPr>
                <w:rFonts w:ascii="仿宋_GB2312" w:hAnsi="宋体" w:eastAsia="仿宋_GB2312" w:cs="宋体"/>
                <w:b/>
                <w:bCs/>
                <w:color w:val="auto"/>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color w:val="auto"/>
                <w:kern w:val="0"/>
                <w:sz w:val="18"/>
                <w:szCs w:val="18"/>
              </w:rPr>
            </w:pPr>
            <w:r>
              <w:rPr>
                <w:rFonts w:ascii="仿宋_GB2312" w:hAnsi="宋体" w:eastAsia="仿宋_GB2312" w:cs="宋体"/>
                <w:b/>
                <w:bCs/>
                <w:color w:val="auto"/>
                <w:kern w:val="0"/>
                <w:sz w:val="18"/>
                <w:szCs w:val="18"/>
              </w:rPr>
              <w:t>97</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color w:val="auto"/>
                <w:kern w:val="0"/>
                <w:sz w:val="18"/>
                <w:szCs w:val="18"/>
              </w:rPr>
            </w:pPr>
          </w:p>
        </w:tc>
      </w:tr>
    </w:tbl>
    <w:p>
      <w:pPr>
        <w:spacing w:beforeLines="50"/>
        <w:rPr>
          <w:rFonts w:ascii="仿宋_GB2312" w:hAnsi="宋体" w:eastAsia="仿宋_GB2312" w:cs="宋体"/>
          <w:color w:val="auto"/>
          <w:kern w:val="0"/>
          <w:szCs w:val="21"/>
        </w:rPr>
      </w:pPr>
      <w:r>
        <w:rPr>
          <w:rFonts w:hint="eastAsia" w:ascii="仿宋_GB2312" w:hAnsi="宋体" w:eastAsia="仿宋_GB2312" w:cs="宋体"/>
          <w:color w:val="auto"/>
          <w:kern w:val="0"/>
          <w:szCs w:val="21"/>
        </w:rPr>
        <w:t>备注：如部门（单位）根据本部门实际情况修改调整了附件</w:t>
      </w:r>
      <w:r>
        <w:rPr>
          <w:rFonts w:ascii="仿宋_GB2312" w:hAnsi="宋体" w:eastAsia="仿宋_GB2312" w:cs="宋体"/>
          <w:color w:val="auto"/>
          <w:kern w:val="0"/>
          <w:szCs w:val="21"/>
        </w:rPr>
        <w:t>3</w:t>
      </w:r>
      <w:r>
        <w:rPr>
          <w:rFonts w:hint="eastAsia" w:ascii="仿宋_GB2312" w:hAnsi="宋体" w:eastAsia="仿宋_GB2312" w:cs="宋体"/>
          <w:color w:val="auto"/>
          <w:kern w:val="0"/>
          <w:szCs w:val="21"/>
        </w:rPr>
        <w:t>《部门整体支出绩效评价指标体系（参考样表）》，须相应修改调整本表中的对应部分。</w:t>
      </w:r>
    </w:p>
    <w:p>
      <w:pPr>
        <w:spacing w:beforeLines="50" w:line="560" w:lineRule="exact"/>
        <w:rPr>
          <w:rFonts w:ascii="黑体" w:hAnsi="黑体" w:eastAsia="黑体"/>
          <w:color w:val="auto"/>
          <w:sz w:val="32"/>
          <w:szCs w:val="32"/>
        </w:rPr>
      </w:pPr>
    </w:p>
    <w:p>
      <w:pPr>
        <w:rPr>
          <w:color w:val="auto"/>
        </w:rPr>
      </w:pPr>
    </w:p>
    <w:p>
      <w:pPr>
        <w:widowControl/>
        <w:jc w:val="center"/>
        <w:rPr>
          <w:rFonts w:ascii="宋体" w:cs="黑体"/>
          <w:color w:val="auto"/>
          <w:kern w:val="0"/>
          <w:sz w:val="32"/>
          <w:szCs w:val="32"/>
        </w:rPr>
      </w:pP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汉仪中圆B5"/>
    <w:panose1 w:val="02010600030101010101"/>
    <w:charset w:val="86"/>
    <w:family w:val="auto"/>
    <w:pitch w:val="default"/>
    <w:sig w:usb0="00000000" w:usb1="00000000" w:usb2="00000016" w:usb3="00000000" w:csb0="0004000F" w:csb1="00000000"/>
  </w:font>
  <w:font w:name="Cambria">
    <w:altName w:val="FreeSerif"/>
    <w:panose1 w:val="02040503050406030204"/>
    <w:charset w:val="00"/>
    <w:family w:val="roman"/>
    <w:pitch w:val="default"/>
    <w:sig w:usb0="00000000" w:usb1="00000000" w:usb2="02000000" w:usb3="00000000" w:csb0="0000019F" w:csb1="00000000"/>
  </w:font>
  <w:font w:name="MingLiUfalt">
    <w:altName w:val="Droid Sans Fallback"/>
    <w:panose1 w:val="00000000000000000000"/>
    <w:charset w:val="88"/>
    <w:family w:val="modern"/>
    <w:pitch w:val="default"/>
    <w:sig w:usb0="00000000" w:usb1="00000000" w:usb2="00000010" w:usb3="00000000" w:csb0="0010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简体">
    <w:panose1 w:val="02000000000000000000"/>
    <w:charset w:val="86"/>
    <w:family w:val="auto"/>
    <w:pitch w:val="default"/>
    <w:sig w:usb0="A00002BF" w:usb1="184F6CFA" w:usb2="00000012" w:usb3="00000000" w:csb0="00040001" w:csb1="00000000"/>
  </w:font>
  <w:font w:name="sans-serif">
    <w:altName w:val="汉仪叶叶相思体简"/>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方正宋体S-超大字符集">
    <w:panose1 w:val="02000000000000000000"/>
    <w:charset w:val="86"/>
    <w:family w:val="auto"/>
    <w:pitch w:val="default"/>
    <w:sig w:usb0="00000001" w:usb1="08000000" w:usb2="00000000" w:usb3="00000000" w:csb0="00040000" w:csb1="00000000"/>
  </w:font>
  <w:font w:name="汉仪叶叶相思体简">
    <w:panose1 w:val="02010509060101010101"/>
    <w:charset w:val="86"/>
    <w:family w:val="auto"/>
    <w:pitch w:val="default"/>
    <w:sig w:usb0="00000001" w:usb1="080E0000" w:usb2="00000000" w:usb3="00000000" w:csb0="00040000" w:csb1="00000000"/>
  </w:font>
  <w:font w:name="汉仪中圆B5">
    <w:panose1 w:val="02010600000101010101"/>
    <w:charset w:val="88"/>
    <w:family w:val="auto"/>
    <w:pitch w:val="default"/>
    <w:sig w:usb0="00000001" w:usb1="080E0800" w:usb2="00000002" w:usb3="00000000" w:csb0="00100000" w:csb1="00000000"/>
  </w:font>
  <w:font w:name="FreeSerif">
    <w:panose1 w:val="02020603050405020304"/>
    <w:charset w:val="00"/>
    <w:family w:val="auto"/>
    <w:pitch w:val="default"/>
    <w:sig w:usb0="E59FAFFF" w:usb1="C200FDFF" w:usb2="43501B29" w:usb3="04000043" w:csb0="6001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4"/>
        <w:szCs w:val="24"/>
      </w:rPr>
    </w:pPr>
    <w:r>
      <w:rPr>
        <w:rStyle w:val="9"/>
        <w:sz w:val="24"/>
        <w:szCs w:val="24"/>
      </w:rPr>
      <w:t>—</w:t>
    </w:r>
    <w:r>
      <w:rPr>
        <w:rStyle w:val="9"/>
        <w:sz w:val="24"/>
        <w:szCs w:val="24"/>
      </w:rPr>
      <w:fldChar w:fldCharType="begin"/>
    </w:r>
    <w:r>
      <w:rPr>
        <w:rStyle w:val="9"/>
        <w:sz w:val="24"/>
        <w:szCs w:val="24"/>
      </w:rPr>
      <w:instrText xml:space="preserve">PAGE  </w:instrText>
    </w:r>
    <w:r>
      <w:rPr>
        <w:rStyle w:val="9"/>
        <w:sz w:val="24"/>
        <w:szCs w:val="24"/>
      </w:rPr>
      <w:fldChar w:fldCharType="separate"/>
    </w:r>
    <w:r>
      <w:rPr>
        <w:rStyle w:val="9"/>
        <w:sz w:val="24"/>
        <w:szCs w:val="24"/>
      </w:rPr>
      <w:t>6</w:t>
    </w:r>
    <w:r>
      <w:rPr>
        <w:rStyle w:val="9"/>
        <w:sz w:val="24"/>
        <w:szCs w:val="24"/>
      </w:rPr>
      <w:fldChar w:fldCharType="end"/>
    </w:r>
    <w:r>
      <w:rPr>
        <w:rStyle w:val="9"/>
        <w:sz w:val="24"/>
        <w:szCs w:val="24"/>
      </w:rPr>
      <w:t>—</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-15-</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4"/>
        <w:szCs w:val="24"/>
      </w:rPr>
    </w:pPr>
    <w:r>
      <w:rPr>
        <w:rStyle w:val="9"/>
        <w:sz w:val="24"/>
        <w:szCs w:val="24"/>
      </w:rPr>
      <w:t xml:space="preserve">— </w:t>
    </w:r>
    <w:r>
      <w:rPr>
        <w:rStyle w:val="9"/>
        <w:sz w:val="24"/>
        <w:szCs w:val="24"/>
      </w:rPr>
      <w:fldChar w:fldCharType="begin"/>
    </w:r>
    <w:r>
      <w:rPr>
        <w:rStyle w:val="9"/>
        <w:sz w:val="24"/>
        <w:szCs w:val="24"/>
      </w:rPr>
      <w:instrText xml:space="preserve">PAGE  </w:instrText>
    </w:r>
    <w:r>
      <w:rPr>
        <w:rStyle w:val="9"/>
        <w:sz w:val="24"/>
        <w:szCs w:val="24"/>
      </w:rPr>
      <w:fldChar w:fldCharType="separate"/>
    </w:r>
    <w:r>
      <w:rPr>
        <w:rStyle w:val="9"/>
        <w:sz w:val="24"/>
        <w:szCs w:val="24"/>
      </w:rPr>
      <w:t>30</w:t>
    </w:r>
    <w:r>
      <w:rPr>
        <w:rStyle w:val="9"/>
        <w:sz w:val="24"/>
        <w:szCs w:val="24"/>
      </w:rPr>
      <w:fldChar w:fldCharType="end"/>
    </w:r>
    <w:r>
      <w:rPr>
        <w:rStyle w:val="9"/>
        <w:sz w:val="24"/>
        <w:szCs w:val="24"/>
      </w:rPr>
      <w:t xml:space="preserve"> —</w:t>
    </w:r>
  </w:p>
  <w:p>
    <w:pPr>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431C72"/>
    <w:multiLevelType w:val="singleLevel"/>
    <w:tmpl w:val="B4431C72"/>
    <w:lvl w:ilvl="0" w:tentative="0">
      <w:start w:val="1"/>
      <w:numFmt w:val="decimal"/>
      <w:suff w:val="nothing"/>
      <w:lvlText w:val="%1、"/>
      <w:lvlJc w:val="left"/>
      <w:rPr>
        <w:rFonts w:cs="Times New Roman"/>
      </w:rPr>
    </w:lvl>
  </w:abstractNum>
  <w:abstractNum w:abstractNumId="1">
    <w:nsid w:val="B5BBDA34"/>
    <w:multiLevelType w:val="singleLevel"/>
    <w:tmpl w:val="B5BBDA34"/>
    <w:lvl w:ilvl="0" w:tentative="0">
      <w:start w:val="14"/>
      <w:numFmt w:val="chineseCounting"/>
      <w:suff w:val="nothing"/>
      <w:lvlText w:val="%1、"/>
      <w:lvlJc w:val="left"/>
      <w:rPr>
        <w:rFonts w:hint="eastAsia" w:cs="Times New Roman"/>
      </w:rPr>
    </w:lvl>
  </w:abstractNum>
  <w:abstractNum w:abstractNumId="2">
    <w:nsid w:val="D6077715"/>
    <w:multiLevelType w:val="singleLevel"/>
    <w:tmpl w:val="D6077715"/>
    <w:lvl w:ilvl="0" w:tentative="0">
      <w:start w:val="2"/>
      <w:numFmt w:val="chineseCounting"/>
      <w:suff w:val="nothing"/>
      <w:lvlText w:val="（%1）"/>
      <w:lvlJc w:val="left"/>
      <w:rPr>
        <w:rFonts w:hint="eastAsia" w:cs="Times New Roman"/>
      </w:rPr>
    </w:lvl>
  </w:abstractNum>
  <w:abstractNum w:abstractNumId="3">
    <w:nsid w:val="04E42E82"/>
    <w:multiLevelType w:val="singleLevel"/>
    <w:tmpl w:val="04E42E82"/>
    <w:lvl w:ilvl="0" w:tentative="0">
      <w:start w:val="2"/>
      <w:numFmt w:val="chineseCounting"/>
      <w:suff w:val="nothing"/>
      <w:lvlText w:val="（%1）"/>
      <w:lvlJc w:val="left"/>
      <w:rPr>
        <w:rFonts w:hint="eastAsia" w:cs="Times New Roman"/>
      </w:rPr>
    </w:lvl>
  </w:abstractNum>
  <w:abstractNum w:abstractNumId="4">
    <w:nsid w:val="6D2F75CB"/>
    <w:multiLevelType w:val="singleLevel"/>
    <w:tmpl w:val="6D2F75CB"/>
    <w:lvl w:ilvl="0" w:tentative="0">
      <w:start w:val="2"/>
      <w:numFmt w:val="decimal"/>
      <w:suff w:val="nothing"/>
      <w:lvlText w:val="%1、"/>
      <w:lvlJc w:val="left"/>
      <w:rPr>
        <w:rFonts w:cs="Times New Roman"/>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true"/>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6F9"/>
    <w:rsid w:val="0002229B"/>
    <w:rsid w:val="000273BD"/>
    <w:rsid w:val="000415B7"/>
    <w:rsid w:val="00041E3F"/>
    <w:rsid w:val="00055DAA"/>
    <w:rsid w:val="00061F7B"/>
    <w:rsid w:val="000658A3"/>
    <w:rsid w:val="00074155"/>
    <w:rsid w:val="000A3F69"/>
    <w:rsid w:val="000E3EB2"/>
    <w:rsid w:val="00103957"/>
    <w:rsid w:val="00152C6D"/>
    <w:rsid w:val="00162D39"/>
    <w:rsid w:val="001678BD"/>
    <w:rsid w:val="00185DB4"/>
    <w:rsid w:val="001A67DB"/>
    <w:rsid w:val="001C3C29"/>
    <w:rsid w:val="001D4F1A"/>
    <w:rsid w:val="001D51E5"/>
    <w:rsid w:val="001E080D"/>
    <w:rsid w:val="001E53D0"/>
    <w:rsid w:val="001F0C3B"/>
    <w:rsid w:val="00202C82"/>
    <w:rsid w:val="00210B4D"/>
    <w:rsid w:val="00214427"/>
    <w:rsid w:val="00226CB7"/>
    <w:rsid w:val="00264552"/>
    <w:rsid w:val="00264EF9"/>
    <w:rsid w:val="00265724"/>
    <w:rsid w:val="0027426B"/>
    <w:rsid w:val="002D7169"/>
    <w:rsid w:val="002E0A30"/>
    <w:rsid w:val="003130C4"/>
    <w:rsid w:val="00316C4B"/>
    <w:rsid w:val="0032192B"/>
    <w:rsid w:val="003479BD"/>
    <w:rsid w:val="00353197"/>
    <w:rsid w:val="0037197D"/>
    <w:rsid w:val="003768D5"/>
    <w:rsid w:val="003C47E6"/>
    <w:rsid w:val="003C4FC2"/>
    <w:rsid w:val="00416E61"/>
    <w:rsid w:val="0042790C"/>
    <w:rsid w:val="004506F9"/>
    <w:rsid w:val="004605CA"/>
    <w:rsid w:val="004717A2"/>
    <w:rsid w:val="00473DF3"/>
    <w:rsid w:val="00487911"/>
    <w:rsid w:val="00491741"/>
    <w:rsid w:val="004A1056"/>
    <w:rsid w:val="00500E5F"/>
    <w:rsid w:val="005122EF"/>
    <w:rsid w:val="0051441A"/>
    <w:rsid w:val="00517C33"/>
    <w:rsid w:val="00523644"/>
    <w:rsid w:val="0054069E"/>
    <w:rsid w:val="00544866"/>
    <w:rsid w:val="005767CC"/>
    <w:rsid w:val="00590D9F"/>
    <w:rsid w:val="00595D26"/>
    <w:rsid w:val="005A74E6"/>
    <w:rsid w:val="005B404E"/>
    <w:rsid w:val="005B74B2"/>
    <w:rsid w:val="005D18C0"/>
    <w:rsid w:val="005D4D55"/>
    <w:rsid w:val="005E2CFB"/>
    <w:rsid w:val="005F3D1C"/>
    <w:rsid w:val="0062378F"/>
    <w:rsid w:val="00641842"/>
    <w:rsid w:val="00651EEC"/>
    <w:rsid w:val="00681C75"/>
    <w:rsid w:val="00691E8C"/>
    <w:rsid w:val="006A22C4"/>
    <w:rsid w:val="006A351B"/>
    <w:rsid w:val="006B0422"/>
    <w:rsid w:val="006C1B53"/>
    <w:rsid w:val="006D7730"/>
    <w:rsid w:val="006E5284"/>
    <w:rsid w:val="006F3EB5"/>
    <w:rsid w:val="00702E34"/>
    <w:rsid w:val="00704395"/>
    <w:rsid w:val="00717006"/>
    <w:rsid w:val="00717621"/>
    <w:rsid w:val="00720FF1"/>
    <w:rsid w:val="00727A53"/>
    <w:rsid w:val="00770C9A"/>
    <w:rsid w:val="00787B42"/>
    <w:rsid w:val="007C4539"/>
    <w:rsid w:val="007F3657"/>
    <w:rsid w:val="00812ED5"/>
    <w:rsid w:val="008277D9"/>
    <w:rsid w:val="0084478C"/>
    <w:rsid w:val="0086638C"/>
    <w:rsid w:val="008A3E8D"/>
    <w:rsid w:val="009237C4"/>
    <w:rsid w:val="0093163F"/>
    <w:rsid w:val="00944C48"/>
    <w:rsid w:val="00950252"/>
    <w:rsid w:val="00967F5D"/>
    <w:rsid w:val="00970A4F"/>
    <w:rsid w:val="009A0F95"/>
    <w:rsid w:val="009B3ADF"/>
    <w:rsid w:val="009C3B52"/>
    <w:rsid w:val="009E6817"/>
    <w:rsid w:val="009E6E9A"/>
    <w:rsid w:val="00A00E23"/>
    <w:rsid w:val="00A01D2B"/>
    <w:rsid w:val="00A42218"/>
    <w:rsid w:val="00A70249"/>
    <w:rsid w:val="00A70B02"/>
    <w:rsid w:val="00A71D9F"/>
    <w:rsid w:val="00A92E9F"/>
    <w:rsid w:val="00B33BEA"/>
    <w:rsid w:val="00B57C9F"/>
    <w:rsid w:val="00B63572"/>
    <w:rsid w:val="00B845B3"/>
    <w:rsid w:val="00B85D8B"/>
    <w:rsid w:val="00B87CDD"/>
    <w:rsid w:val="00BB4A40"/>
    <w:rsid w:val="00BD6C3E"/>
    <w:rsid w:val="00BE3674"/>
    <w:rsid w:val="00C10681"/>
    <w:rsid w:val="00C3049A"/>
    <w:rsid w:val="00C31B1E"/>
    <w:rsid w:val="00C77645"/>
    <w:rsid w:val="00CE04C3"/>
    <w:rsid w:val="00CE76A0"/>
    <w:rsid w:val="00D05F0E"/>
    <w:rsid w:val="00D148C6"/>
    <w:rsid w:val="00D17A8A"/>
    <w:rsid w:val="00D415BA"/>
    <w:rsid w:val="00D644EE"/>
    <w:rsid w:val="00DD06FF"/>
    <w:rsid w:val="00DD5FE9"/>
    <w:rsid w:val="00E00C7A"/>
    <w:rsid w:val="00E37D6C"/>
    <w:rsid w:val="00E55B68"/>
    <w:rsid w:val="00E67BE6"/>
    <w:rsid w:val="00E8683C"/>
    <w:rsid w:val="00EA1567"/>
    <w:rsid w:val="00EA2B72"/>
    <w:rsid w:val="00F1618C"/>
    <w:rsid w:val="00F74360"/>
    <w:rsid w:val="00FB462F"/>
    <w:rsid w:val="00FE16FA"/>
    <w:rsid w:val="00FE328A"/>
    <w:rsid w:val="00FE6269"/>
    <w:rsid w:val="00FE6AFB"/>
    <w:rsid w:val="01ED1B80"/>
    <w:rsid w:val="01F67E4E"/>
    <w:rsid w:val="021A7DDE"/>
    <w:rsid w:val="0271315E"/>
    <w:rsid w:val="02BF67E6"/>
    <w:rsid w:val="02D64A98"/>
    <w:rsid w:val="02EA3B3E"/>
    <w:rsid w:val="03296FC4"/>
    <w:rsid w:val="0354058A"/>
    <w:rsid w:val="03702AAE"/>
    <w:rsid w:val="03A6125D"/>
    <w:rsid w:val="03DA2E0F"/>
    <w:rsid w:val="04704048"/>
    <w:rsid w:val="04935B6F"/>
    <w:rsid w:val="04C04AD4"/>
    <w:rsid w:val="04D550BF"/>
    <w:rsid w:val="05094035"/>
    <w:rsid w:val="05744020"/>
    <w:rsid w:val="05890E57"/>
    <w:rsid w:val="05DC1D05"/>
    <w:rsid w:val="06982286"/>
    <w:rsid w:val="06D635C1"/>
    <w:rsid w:val="076B525B"/>
    <w:rsid w:val="080D002F"/>
    <w:rsid w:val="08686C3A"/>
    <w:rsid w:val="08687DB5"/>
    <w:rsid w:val="086A28BA"/>
    <w:rsid w:val="08871100"/>
    <w:rsid w:val="08E03D12"/>
    <w:rsid w:val="09204288"/>
    <w:rsid w:val="0974709B"/>
    <w:rsid w:val="09CA5EBD"/>
    <w:rsid w:val="09DE7F0C"/>
    <w:rsid w:val="0A470860"/>
    <w:rsid w:val="0A8660FB"/>
    <w:rsid w:val="0AFA43AA"/>
    <w:rsid w:val="0B0B719B"/>
    <w:rsid w:val="0B123BDF"/>
    <w:rsid w:val="0B192507"/>
    <w:rsid w:val="0B241B20"/>
    <w:rsid w:val="0B357C53"/>
    <w:rsid w:val="0CB43EFA"/>
    <w:rsid w:val="0D0B1653"/>
    <w:rsid w:val="0D700E99"/>
    <w:rsid w:val="0DF5371B"/>
    <w:rsid w:val="0E3505A2"/>
    <w:rsid w:val="0EC13697"/>
    <w:rsid w:val="0EEB00DB"/>
    <w:rsid w:val="0F252B51"/>
    <w:rsid w:val="0F303622"/>
    <w:rsid w:val="0F365905"/>
    <w:rsid w:val="0FCC162E"/>
    <w:rsid w:val="0FFB7944"/>
    <w:rsid w:val="10882A29"/>
    <w:rsid w:val="10C92E13"/>
    <w:rsid w:val="11335F71"/>
    <w:rsid w:val="121A5001"/>
    <w:rsid w:val="12D1248F"/>
    <w:rsid w:val="12F35317"/>
    <w:rsid w:val="13043964"/>
    <w:rsid w:val="138140CC"/>
    <w:rsid w:val="15B562A4"/>
    <w:rsid w:val="15B94809"/>
    <w:rsid w:val="17125364"/>
    <w:rsid w:val="19844B6F"/>
    <w:rsid w:val="199046EE"/>
    <w:rsid w:val="19B33213"/>
    <w:rsid w:val="19BE7217"/>
    <w:rsid w:val="1AB360E5"/>
    <w:rsid w:val="1B350605"/>
    <w:rsid w:val="1BBE693F"/>
    <w:rsid w:val="1BCD0672"/>
    <w:rsid w:val="1BE07F67"/>
    <w:rsid w:val="1C7B3949"/>
    <w:rsid w:val="1C9D3A6B"/>
    <w:rsid w:val="1CDD6117"/>
    <w:rsid w:val="1DD865F6"/>
    <w:rsid w:val="1E2348BA"/>
    <w:rsid w:val="1EF259F5"/>
    <w:rsid w:val="1EF62003"/>
    <w:rsid w:val="1F052928"/>
    <w:rsid w:val="1F191A45"/>
    <w:rsid w:val="1F894E78"/>
    <w:rsid w:val="1FCE75B0"/>
    <w:rsid w:val="1FE274D6"/>
    <w:rsid w:val="200A6ACC"/>
    <w:rsid w:val="20680359"/>
    <w:rsid w:val="20E6778F"/>
    <w:rsid w:val="20F51D89"/>
    <w:rsid w:val="22556D93"/>
    <w:rsid w:val="22D33C1D"/>
    <w:rsid w:val="236007BB"/>
    <w:rsid w:val="237D4AE1"/>
    <w:rsid w:val="23CF53C1"/>
    <w:rsid w:val="249604BD"/>
    <w:rsid w:val="25216E0B"/>
    <w:rsid w:val="25321F1E"/>
    <w:rsid w:val="253B49BD"/>
    <w:rsid w:val="26D60E08"/>
    <w:rsid w:val="27BC5058"/>
    <w:rsid w:val="27D23B2F"/>
    <w:rsid w:val="287056A0"/>
    <w:rsid w:val="2961649F"/>
    <w:rsid w:val="29F761E3"/>
    <w:rsid w:val="2A6A4EB7"/>
    <w:rsid w:val="2A862FF5"/>
    <w:rsid w:val="2B1E3DDD"/>
    <w:rsid w:val="2BB03A6D"/>
    <w:rsid w:val="2C387601"/>
    <w:rsid w:val="2C9C0300"/>
    <w:rsid w:val="2D03010E"/>
    <w:rsid w:val="2E172F92"/>
    <w:rsid w:val="2F590516"/>
    <w:rsid w:val="2F9928CC"/>
    <w:rsid w:val="2F9D18FE"/>
    <w:rsid w:val="300A1223"/>
    <w:rsid w:val="30302142"/>
    <w:rsid w:val="30DB37EB"/>
    <w:rsid w:val="311F0772"/>
    <w:rsid w:val="315044B0"/>
    <w:rsid w:val="31886811"/>
    <w:rsid w:val="31F42A4E"/>
    <w:rsid w:val="31F73215"/>
    <w:rsid w:val="3216336D"/>
    <w:rsid w:val="322F60CE"/>
    <w:rsid w:val="323A7006"/>
    <w:rsid w:val="32D404B8"/>
    <w:rsid w:val="3438651E"/>
    <w:rsid w:val="358D408E"/>
    <w:rsid w:val="35A575FE"/>
    <w:rsid w:val="35D74250"/>
    <w:rsid w:val="36513BBE"/>
    <w:rsid w:val="37434F49"/>
    <w:rsid w:val="37996F4D"/>
    <w:rsid w:val="37C77D85"/>
    <w:rsid w:val="38044F82"/>
    <w:rsid w:val="39B03B51"/>
    <w:rsid w:val="3B175E90"/>
    <w:rsid w:val="3B7E0D7B"/>
    <w:rsid w:val="3BF11BF6"/>
    <w:rsid w:val="3BF3265D"/>
    <w:rsid w:val="3C005C7F"/>
    <w:rsid w:val="3C1C239D"/>
    <w:rsid w:val="3CD9474E"/>
    <w:rsid w:val="3D4C06C3"/>
    <w:rsid w:val="3DCD6C5D"/>
    <w:rsid w:val="3DE531D5"/>
    <w:rsid w:val="3E353309"/>
    <w:rsid w:val="3E920264"/>
    <w:rsid w:val="3EE51B69"/>
    <w:rsid w:val="3F234F42"/>
    <w:rsid w:val="3F273D03"/>
    <w:rsid w:val="3F5B7F3F"/>
    <w:rsid w:val="411305EA"/>
    <w:rsid w:val="412734C8"/>
    <w:rsid w:val="4152694B"/>
    <w:rsid w:val="4174457A"/>
    <w:rsid w:val="41C55666"/>
    <w:rsid w:val="439150A3"/>
    <w:rsid w:val="43E941D2"/>
    <w:rsid w:val="44121E2B"/>
    <w:rsid w:val="44AB57C7"/>
    <w:rsid w:val="44CF2D46"/>
    <w:rsid w:val="453D23FF"/>
    <w:rsid w:val="453E46A7"/>
    <w:rsid w:val="45530C48"/>
    <w:rsid w:val="456C181C"/>
    <w:rsid w:val="462B29C0"/>
    <w:rsid w:val="467A22A0"/>
    <w:rsid w:val="46982EAB"/>
    <w:rsid w:val="46AB15CA"/>
    <w:rsid w:val="46E45096"/>
    <w:rsid w:val="472A4908"/>
    <w:rsid w:val="47386EB8"/>
    <w:rsid w:val="47530D3F"/>
    <w:rsid w:val="476E778D"/>
    <w:rsid w:val="47A347B1"/>
    <w:rsid w:val="47EA14AC"/>
    <w:rsid w:val="482E5231"/>
    <w:rsid w:val="488F6D68"/>
    <w:rsid w:val="48A96E4F"/>
    <w:rsid w:val="4A6A13B4"/>
    <w:rsid w:val="4A774860"/>
    <w:rsid w:val="4A8F7740"/>
    <w:rsid w:val="4BB8695E"/>
    <w:rsid w:val="4BC25902"/>
    <w:rsid w:val="4BDE32FA"/>
    <w:rsid w:val="4BE76F40"/>
    <w:rsid w:val="4C9C1AFF"/>
    <w:rsid w:val="4D4D5200"/>
    <w:rsid w:val="4D5E13F9"/>
    <w:rsid w:val="4DC84738"/>
    <w:rsid w:val="4DDC1177"/>
    <w:rsid w:val="4E7F23B7"/>
    <w:rsid w:val="4EE93B77"/>
    <w:rsid w:val="4F2429E0"/>
    <w:rsid w:val="4F771A21"/>
    <w:rsid w:val="4FE33E89"/>
    <w:rsid w:val="4FEE5953"/>
    <w:rsid w:val="5028457C"/>
    <w:rsid w:val="506B5FFC"/>
    <w:rsid w:val="50BE1F7F"/>
    <w:rsid w:val="50DA454D"/>
    <w:rsid w:val="50ED7FC4"/>
    <w:rsid w:val="51401F27"/>
    <w:rsid w:val="5140485F"/>
    <w:rsid w:val="529A69E8"/>
    <w:rsid w:val="53597E87"/>
    <w:rsid w:val="535C7DEB"/>
    <w:rsid w:val="537630B3"/>
    <w:rsid w:val="54117BF0"/>
    <w:rsid w:val="544B0D42"/>
    <w:rsid w:val="544D2D82"/>
    <w:rsid w:val="54A6745B"/>
    <w:rsid w:val="54C83B16"/>
    <w:rsid w:val="55136753"/>
    <w:rsid w:val="55505F04"/>
    <w:rsid w:val="55F556E9"/>
    <w:rsid w:val="56295649"/>
    <w:rsid w:val="564A6F5E"/>
    <w:rsid w:val="5747537B"/>
    <w:rsid w:val="581F4CCC"/>
    <w:rsid w:val="582C1D9E"/>
    <w:rsid w:val="593B4177"/>
    <w:rsid w:val="5A4C50C8"/>
    <w:rsid w:val="5AAA708E"/>
    <w:rsid w:val="5B01704A"/>
    <w:rsid w:val="5B60746E"/>
    <w:rsid w:val="5B745767"/>
    <w:rsid w:val="5BAD4000"/>
    <w:rsid w:val="5BBF7A50"/>
    <w:rsid w:val="5C037CBF"/>
    <w:rsid w:val="5DAA3B30"/>
    <w:rsid w:val="5DAC4448"/>
    <w:rsid w:val="5EE45CEF"/>
    <w:rsid w:val="5F0F4302"/>
    <w:rsid w:val="5F2A642F"/>
    <w:rsid w:val="604F288D"/>
    <w:rsid w:val="607A7BB1"/>
    <w:rsid w:val="608A08C7"/>
    <w:rsid w:val="60EE29BE"/>
    <w:rsid w:val="61CB2F5B"/>
    <w:rsid w:val="6241446D"/>
    <w:rsid w:val="62A534C2"/>
    <w:rsid w:val="63393C85"/>
    <w:rsid w:val="634263A0"/>
    <w:rsid w:val="63465A7C"/>
    <w:rsid w:val="635D0079"/>
    <w:rsid w:val="63ED65EA"/>
    <w:rsid w:val="6422559F"/>
    <w:rsid w:val="64803CA4"/>
    <w:rsid w:val="64DF5AA2"/>
    <w:rsid w:val="655F24F1"/>
    <w:rsid w:val="6571723E"/>
    <w:rsid w:val="65877DDB"/>
    <w:rsid w:val="660F285A"/>
    <w:rsid w:val="66433836"/>
    <w:rsid w:val="66504CC2"/>
    <w:rsid w:val="66C13F2C"/>
    <w:rsid w:val="67D857A1"/>
    <w:rsid w:val="68131987"/>
    <w:rsid w:val="682A741D"/>
    <w:rsid w:val="686E2ED6"/>
    <w:rsid w:val="686F7A33"/>
    <w:rsid w:val="68FE3FD1"/>
    <w:rsid w:val="691A5C67"/>
    <w:rsid w:val="69DD5C97"/>
    <w:rsid w:val="69F20C60"/>
    <w:rsid w:val="6AAA26FD"/>
    <w:rsid w:val="6AF90BE3"/>
    <w:rsid w:val="6D7E13E5"/>
    <w:rsid w:val="6DC44C64"/>
    <w:rsid w:val="6DCE7C8F"/>
    <w:rsid w:val="6E19699B"/>
    <w:rsid w:val="6E690563"/>
    <w:rsid w:val="6EC12273"/>
    <w:rsid w:val="6F00286F"/>
    <w:rsid w:val="6F012C49"/>
    <w:rsid w:val="6F641032"/>
    <w:rsid w:val="6FC1219D"/>
    <w:rsid w:val="6FCE44CC"/>
    <w:rsid w:val="6FD93F17"/>
    <w:rsid w:val="6FD97A5F"/>
    <w:rsid w:val="70960546"/>
    <w:rsid w:val="70B60E44"/>
    <w:rsid w:val="70C54809"/>
    <w:rsid w:val="72404BEE"/>
    <w:rsid w:val="72E322FA"/>
    <w:rsid w:val="73826A6F"/>
    <w:rsid w:val="73C22C36"/>
    <w:rsid w:val="742D550C"/>
    <w:rsid w:val="74960F1E"/>
    <w:rsid w:val="755253D7"/>
    <w:rsid w:val="765F4D63"/>
    <w:rsid w:val="767D292C"/>
    <w:rsid w:val="76E97A8B"/>
    <w:rsid w:val="770008C7"/>
    <w:rsid w:val="77354915"/>
    <w:rsid w:val="77BF0CB3"/>
    <w:rsid w:val="796A04E0"/>
    <w:rsid w:val="7AD404DA"/>
    <w:rsid w:val="7B7B06F5"/>
    <w:rsid w:val="7D5A2CDC"/>
    <w:rsid w:val="7D5B0AB0"/>
    <w:rsid w:val="7D97735F"/>
    <w:rsid w:val="7EA96C30"/>
    <w:rsid w:val="7FF310E3"/>
    <w:rsid w:val="E6D926B0"/>
    <w:rsid w:val="EEBF4770"/>
    <w:rsid w:val="F7FE26C9"/>
    <w:rsid w:val="FBEF1D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link w:val="10"/>
    <w:qFormat/>
    <w:uiPriority w:val="99"/>
    <w:pPr>
      <w:keepNext/>
      <w:keepLines/>
      <w:spacing w:before="280" w:after="290" w:line="376" w:lineRule="auto"/>
      <w:outlineLvl w:val="3"/>
    </w:pPr>
    <w:rPr>
      <w:rFonts w:ascii="等线 Light" w:hAnsi="等线 Light" w:eastAsia="等线 Light"/>
      <w:b/>
      <w:sz w:val="28"/>
      <w:szCs w:val="24"/>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hAnsi="宋体"/>
      <w:kern w:val="0"/>
      <w:sz w:val="24"/>
      <w:szCs w:val="24"/>
    </w:rPr>
  </w:style>
  <w:style w:type="character" w:styleId="9">
    <w:name w:val="page number"/>
    <w:basedOn w:val="8"/>
    <w:qFormat/>
    <w:uiPriority w:val="99"/>
    <w:rPr>
      <w:rFonts w:cs="Times New Roman"/>
    </w:rPr>
  </w:style>
  <w:style w:type="character" w:customStyle="1" w:styleId="10">
    <w:name w:val="Heading 4 Char"/>
    <w:basedOn w:val="8"/>
    <w:link w:val="2"/>
    <w:semiHidden/>
    <w:qFormat/>
    <w:uiPriority w:val="9"/>
    <w:rPr>
      <w:rFonts w:asciiTheme="majorHAnsi" w:hAnsiTheme="majorHAnsi" w:eastAsiaTheme="majorEastAsia" w:cstheme="majorBidi"/>
      <w:b/>
      <w:bCs/>
      <w:sz w:val="28"/>
      <w:szCs w:val="28"/>
    </w:rPr>
  </w:style>
  <w:style w:type="character" w:customStyle="1" w:styleId="11">
    <w:name w:val="Balloon Text Char"/>
    <w:basedOn w:val="8"/>
    <w:link w:val="3"/>
    <w:semiHidden/>
    <w:qFormat/>
    <w:locked/>
    <w:uiPriority w:val="99"/>
    <w:rPr>
      <w:rFonts w:cs="Times New Roman"/>
      <w:sz w:val="18"/>
      <w:szCs w:val="18"/>
    </w:rPr>
  </w:style>
  <w:style w:type="character" w:customStyle="1" w:styleId="12">
    <w:name w:val="Footer Char"/>
    <w:basedOn w:val="8"/>
    <w:link w:val="4"/>
    <w:qFormat/>
    <w:locked/>
    <w:uiPriority w:val="99"/>
    <w:rPr>
      <w:rFonts w:cs="Times New Roman"/>
      <w:sz w:val="18"/>
      <w:szCs w:val="18"/>
    </w:rPr>
  </w:style>
  <w:style w:type="character" w:customStyle="1" w:styleId="13">
    <w:name w:val="Header Char"/>
    <w:basedOn w:val="8"/>
    <w:link w:val="5"/>
    <w:qFormat/>
    <w:locked/>
    <w:uiPriority w:val="99"/>
    <w:rPr>
      <w:rFonts w:cs="Times New Roman"/>
      <w:sz w:val="18"/>
      <w:szCs w:val="18"/>
    </w:rPr>
  </w:style>
  <w:style w:type="paragraph" w:customStyle="1" w:styleId="14">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15">
    <w:name w:val="List Paragraph"/>
    <w:basedOn w:val="1"/>
    <w:qFormat/>
    <w:uiPriority w:val="99"/>
    <w:pPr>
      <w:ind w:firstLine="420" w:firstLineChars="200"/>
    </w:pPr>
  </w:style>
  <w:style w:type="paragraph" w:customStyle="1" w:styleId="16">
    <w:name w:val="Body text|1"/>
    <w:basedOn w:val="1"/>
    <w:qFormat/>
    <w:uiPriority w:val="99"/>
    <w:pPr>
      <w:spacing w:line="441" w:lineRule="auto"/>
      <w:ind w:firstLine="400"/>
    </w:pPr>
    <w:rPr>
      <w:rFonts w:ascii="MingLiUfalt" w:hAnsi="MingLiUfalt" w:eastAsia="MingLiUfalt"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52</Pages>
  <Words>4070</Words>
  <Characters>23200</Characters>
  <Lines>0</Lines>
  <Paragraphs>0</Paragraphs>
  <TotalTime>5</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2021-09-09T01:50:00Z</dcterms:created>
  <dc:creator>李航 null</dc:creator>
  <cp:lastModifiedBy>瑶瑶</cp:lastModifiedBy>
  <cp:lastPrinted>2021-07-29T00:12:00Z</cp:lastPrinted>
  <dcterms:modified xsi:type="dcterms:W3CDTF">2022-09-07T11:09:54Z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12ADA923FA1948368F823372D5DC8B0E</vt:lpwstr>
  </property>
</Properties>
</file>