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2022年度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hint="eastAsia" w:ascii="Times New Roman" w:hAnsi="Times New Roman" w:eastAsia="仿宋_GB2312" w:cs="Times New Roman"/>
          <w:spacing w:val="-4"/>
          <w:sz w:val="32"/>
          <w:szCs w:val="32"/>
        </w:rPr>
      </w:pPr>
    </w:p>
    <w:p>
      <w:pPr>
        <w:spacing w:line="600" w:lineRule="exact"/>
        <w:ind w:firstLine="624" w:firstLineChars="200"/>
        <w:rPr>
          <w:rFonts w:ascii="Times New Roman" w:hAnsi="Times New Roman" w:eastAsia="仿宋_GB2312" w:cs="Times New Roman"/>
          <w:spacing w:val="-4"/>
          <w:sz w:val="32"/>
          <w:szCs w:val="32"/>
        </w:rPr>
      </w:pPr>
      <w:bookmarkStart w:id="0" w:name="_GoBack"/>
      <w:bookmarkEnd w:id="0"/>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1027430</wp:posOffset>
            </wp:positionH>
            <wp:positionV relativeFrom="paragraph">
              <wp:posOffset>747395</wp:posOffset>
            </wp:positionV>
            <wp:extent cx="3232150" cy="1995805"/>
            <wp:effectExtent l="0" t="0" r="6350" b="1270"/>
            <wp:wrapNone/>
            <wp:docPr id="1" name="图片 1" descr="1610419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419229(1)"/>
                    <pic:cNvPicPr>
                      <a:picLocks noChangeAspect="1"/>
                    </pic:cNvPicPr>
                  </pic:nvPicPr>
                  <pic:blipFill>
                    <a:blip r:embed="rId4"/>
                    <a:stretch>
                      <a:fillRect/>
                    </a:stretch>
                  </pic:blipFill>
                  <pic:spPr>
                    <a:xfrm>
                      <a:off x="0" y="0"/>
                      <a:ext cx="3232150" cy="1995805"/>
                    </a:xfrm>
                    <a:prstGeom prst="rect">
                      <a:avLst/>
                    </a:prstGeom>
                  </pic:spPr>
                </pic:pic>
              </a:graphicData>
            </a:graphic>
          </wp:anchor>
        </w:drawing>
      </w: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lang w:eastAsia="zh-CN"/>
        </w:rPr>
        <w:t>。</w:t>
      </w:r>
    </w:p>
    <w:p>
      <w:pPr>
        <w:spacing w:line="600" w:lineRule="exact"/>
        <w:ind w:firstLine="640" w:firstLineChars="200"/>
        <w:rPr>
          <w:rFonts w:hint="eastAsia"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cs="Times New Roman"/>
          <w:sz w:val="32"/>
          <w:szCs w:val="32"/>
        </w:rPr>
      </w:pPr>
    </w:p>
    <w:p>
      <w:pPr>
        <w:spacing w:line="600" w:lineRule="exact"/>
        <w:rPr>
          <w:rFonts w:hint="eastAsia" w:ascii="Times New Roman" w:hAnsi="Times New Roman" w:eastAsia="仿宋_GB2312" w:cs="Times New Roman"/>
          <w:sz w:val="32"/>
          <w:szCs w:val="32"/>
          <w:lang w:eastAsia="zh-CN"/>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lang w:eastAsia="zh-CN"/>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935" distR="114935" simplePos="0" relativeHeight="251660288" behindDoc="0" locked="0" layoutInCell="1" allowOverlap="1">
            <wp:simplePos x="0" y="0"/>
            <wp:positionH relativeFrom="column">
              <wp:posOffset>989965</wp:posOffset>
            </wp:positionH>
            <wp:positionV relativeFrom="paragraph">
              <wp:posOffset>35560</wp:posOffset>
            </wp:positionV>
            <wp:extent cx="3321685" cy="1894205"/>
            <wp:effectExtent l="0" t="0" r="3175" b="5715"/>
            <wp:wrapNone/>
            <wp:docPr id="2" name="图片 2" descr="1610419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0419388(1)"/>
                    <pic:cNvPicPr>
                      <a:picLocks noChangeAspect="1"/>
                    </pic:cNvPicPr>
                  </pic:nvPicPr>
                  <pic:blipFill>
                    <a:blip r:embed="rId5"/>
                    <a:stretch>
                      <a:fillRect/>
                    </a:stretch>
                  </pic:blipFill>
                  <pic:spPr>
                    <a:xfrm>
                      <a:off x="0" y="0"/>
                      <a:ext cx="3321685" cy="1894205"/>
                    </a:xfrm>
                    <a:prstGeom prst="rect">
                      <a:avLst/>
                    </a:prstGeom>
                  </pic:spPr>
                </pic:pic>
              </a:graphicData>
            </a:graphic>
          </wp:anchor>
        </w:drawing>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3" w:firstLineChars="200"/>
        <w:rPr>
          <w:rFonts w:hint="eastAsia" w:ascii="楷体_GB2312" w:hAnsi="黑体" w:eastAsia="楷体_GB2312" w:cs="Times New Roman"/>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w:t>
      </w:r>
    </w:p>
    <w:p>
      <w:pPr>
        <w:spacing w:line="600" w:lineRule="exact"/>
        <w:ind w:firstLine="640" w:firstLineChars="200"/>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eastAsia="zh-CN"/>
        </w:rPr>
        <w:drawing>
          <wp:anchor distT="0" distB="0" distL="114935" distR="114935" simplePos="0" relativeHeight="251661312" behindDoc="0" locked="0" layoutInCell="1" allowOverlap="1">
            <wp:simplePos x="0" y="0"/>
            <wp:positionH relativeFrom="column">
              <wp:posOffset>107315</wp:posOffset>
            </wp:positionH>
            <wp:positionV relativeFrom="paragraph">
              <wp:posOffset>40640</wp:posOffset>
            </wp:positionV>
            <wp:extent cx="5774055" cy="1890395"/>
            <wp:effectExtent l="0" t="0" r="0" b="9525"/>
            <wp:wrapNone/>
            <wp:docPr id="3" name="图片 3" descr="1610422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422160(1)"/>
                    <pic:cNvPicPr>
                      <a:picLocks noChangeAspect="1"/>
                    </pic:cNvPicPr>
                  </pic:nvPicPr>
                  <pic:blipFill>
                    <a:blip r:embed="rId6"/>
                    <a:srcRect l="-872" t="3935" r="-2106" b="10569"/>
                    <a:stretch>
                      <a:fillRect/>
                    </a:stretch>
                  </pic:blipFill>
                  <pic:spPr>
                    <a:xfrm>
                      <a:off x="0" y="0"/>
                      <a:ext cx="5774055" cy="1890395"/>
                    </a:xfrm>
                    <a:prstGeom prst="rect">
                      <a:avLst/>
                    </a:prstGeom>
                  </pic:spPr>
                </pic:pic>
              </a:graphicData>
            </a:graphic>
          </wp:anchor>
        </w:drawing>
      </w: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0" w:firstLineChars="200"/>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eastAsia="zh-CN"/>
        </w:rPr>
        <w:drawing>
          <wp:anchor distT="0" distB="0" distL="114935" distR="114935" simplePos="0" relativeHeight="251662336" behindDoc="0" locked="0" layoutInCell="1" allowOverlap="1">
            <wp:simplePos x="0" y="0"/>
            <wp:positionH relativeFrom="column">
              <wp:posOffset>150495</wp:posOffset>
            </wp:positionH>
            <wp:positionV relativeFrom="paragraph">
              <wp:posOffset>17780</wp:posOffset>
            </wp:positionV>
            <wp:extent cx="5588000" cy="1902460"/>
            <wp:effectExtent l="0" t="0" r="3810" b="8255"/>
            <wp:wrapNone/>
            <wp:docPr id="4" name="图片 4" descr="1610422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0422247(1)"/>
                    <pic:cNvPicPr>
                      <a:picLocks noChangeAspect="1"/>
                    </pic:cNvPicPr>
                  </pic:nvPicPr>
                  <pic:blipFill>
                    <a:blip r:embed="rId7"/>
                    <a:srcRect l="272" t="21999"/>
                    <a:stretch>
                      <a:fillRect/>
                    </a:stretch>
                  </pic:blipFill>
                  <pic:spPr>
                    <a:xfrm>
                      <a:off x="0" y="0"/>
                      <a:ext cx="5588000" cy="1902460"/>
                    </a:xfrm>
                    <a:prstGeom prst="rect">
                      <a:avLst/>
                    </a:prstGeom>
                  </pic:spPr>
                </pic:pic>
              </a:graphicData>
            </a:graphic>
          </wp:anchor>
        </w:drawing>
      </w: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hint="eastAsia" w:ascii="楷体_GB2312" w:hAnsi="黑体" w:eastAsia="楷体_GB2312" w:cs="Times New Roman"/>
          <w:sz w:val="32"/>
          <w:szCs w:val="32"/>
          <w:lang w:eastAsia="zh-CN"/>
        </w:rPr>
        <w:drawing>
          <wp:anchor distT="0" distB="0" distL="114935" distR="114935" simplePos="0" relativeHeight="251664384" behindDoc="0" locked="0" layoutInCell="1" allowOverlap="1">
            <wp:simplePos x="0" y="0"/>
            <wp:positionH relativeFrom="column">
              <wp:posOffset>210820</wp:posOffset>
            </wp:positionH>
            <wp:positionV relativeFrom="paragraph">
              <wp:posOffset>373380</wp:posOffset>
            </wp:positionV>
            <wp:extent cx="5436870" cy="1828800"/>
            <wp:effectExtent l="0" t="0" r="3810" b="6350"/>
            <wp:wrapNone/>
            <wp:docPr id="6" name="图片 6" descr="1610422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0422567(1)"/>
                    <pic:cNvPicPr>
                      <a:picLocks noChangeAspect="1"/>
                    </pic:cNvPicPr>
                  </pic:nvPicPr>
                  <pic:blipFill>
                    <a:blip r:embed="rId8"/>
                    <a:srcRect l="482" t="8265" r="1285" b="13686"/>
                    <a:stretch>
                      <a:fillRect/>
                    </a:stretch>
                  </pic:blipFill>
                  <pic:spPr>
                    <a:xfrm>
                      <a:off x="0" y="0"/>
                      <a:ext cx="5436870" cy="1828800"/>
                    </a:xfrm>
                    <a:prstGeom prst="rect">
                      <a:avLst/>
                    </a:prstGeom>
                  </pic:spPr>
                </pic:pic>
              </a:graphicData>
            </a:graphic>
          </wp:anchor>
        </w:drawing>
      </w: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0" w:firstLineChars="200"/>
        <w:rPr>
          <w:rFonts w:hint="eastAsia" w:ascii="楷体_GB2312" w:hAnsi="黑体" w:eastAsia="楷体_GB2312" w:cs="Times New Roman"/>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ind w:firstLine="643" w:firstLineChars="200"/>
        <w:rPr>
          <w:rFonts w:hint="eastAsia" w:ascii="楷体_GB2312" w:hAnsi="黑体" w:eastAsia="楷体_GB2312" w:cs="Times New Roman"/>
          <w:b/>
          <w:sz w:val="32"/>
          <w:szCs w:val="32"/>
        </w:rPr>
      </w:pPr>
    </w:p>
    <w:p>
      <w:pPr>
        <w:spacing w:line="600" w:lineRule="exact"/>
        <w:rPr>
          <w:rFonts w:hint="eastAsia" w:ascii="楷体_GB2312" w:hAnsi="黑体" w:eastAsia="楷体_GB2312" w:cs="Times New Roman"/>
          <w:b/>
          <w:sz w:val="32"/>
          <w:szCs w:val="32"/>
        </w:rPr>
      </w:pPr>
    </w:p>
    <w:p>
      <w:pPr>
        <w:spacing w:line="600" w:lineRule="exact"/>
        <w:ind w:firstLine="643" w:firstLineChars="200"/>
        <w:rPr>
          <w:rFonts w:ascii="Times New Roman" w:hAnsi="Times New Roman" w:eastAsia="仿宋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420" w:firstLineChars="200"/>
        <w:rPr>
          <w:rFonts w:hint="eastAsia" w:ascii="楷体_GB2312" w:hAnsi="黑体" w:eastAsia="楷体_GB2312" w:cs="Times New Roman"/>
          <w:sz w:val="32"/>
          <w:szCs w:val="32"/>
        </w:rPr>
      </w:pPr>
      <w:r>
        <w:rPr>
          <w:rFonts w:hint="eastAsia" w:eastAsiaTheme="minorEastAsia"/>
          <w:lang w:eastAsia="zh-CN"/>
        </w:rPr>
        <w:drawing>
          <wp:anchor distT="0" distB="0" distL="114935" distR="114935" simplePos="0" relativeHeight="251663360" behindDoc="0" locked="0" layoutInCell="1" allowOverlap="1">
            <wp:simplePos x="0" y="0"/>
            <wp:positionH relativeFrom="column">
              <wp:posOffset>227330</wp:posOffset>
            </wp:positionH>
            <wp:positionV relativeFrom="paragraph">
              <wp:posOffset>635</wp:posOffset>
            </wp:positionV>
            <wp:extent cx="5274310" cy="1969135"/>
            <wp:effectExtent l="0" t="0" r="4445" b="6350"/>
            <wp:wrapNone/>
            <wp:docPr id="5" name="图片 5" descr="1610422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0422337(1)"/>
                    <pic:cNvPicPr>
                      <a:picLocks noChangeAspect="1"/>
                    </pic:cNvPicPr>
                  </pic:nvPicPr>
                  <pic:blipFill>
                    <a:blip r:embed="rId9"/>
                    <a:stretch>
                      <a:fillRect/>
                    </a:stretch>
                  </pic:blipFill>
                  <pic:spPr>
                    <a:xfrm>
                      <a:off x="0" y="0"/>
                      <a:ext cx="5274310" cy="1969135"/>
                    </a:xfrm>
                    <a:prstGeom prst="rect">
                      <a:avLst/>
                    </a:prstGeom>
                  </pic:spPr>
                </pic:pic>
              </a:graphicData>
            </a:graphic>
          </wp:anchor>
        </w:drawing>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rPr>
          <w:rFonts w:ascii="Times New Roman" w:hAnsi="Times New Roman" w:eastAsia="仿宋_GB2312" w:cs="Times New Roman"/>
          <w:b/>
          <w:bCs w:val="0"/>
          <w:sz w:val="32"/>
          <w:szCs w:val="32"/>
        </w:rPr>
      </w:pPr>
      <w:r>
        <w:rPr>
          <w:rFonts w:ascii="Times New Roman" w:hAnsi="Times New Roman" w:eastAsia="仿宋_GB2312" w:cs="Times New Roman"/>
          <w:b/>
          <w:bCs w:val="0"/>
          <w:sz w:val="32"/>
          <w:szCs w:val="32"/>
        </w:rPr>
        <w:t>5、</w:t>
      </w:r>
      <w:r>
        <w:rPr>
          <w:rFonts w:hint="eastAsia" w:ascii="Times New Roman" w:hAnsi="Times New Roman" w:eastAsia="仿宋_GB2312" w:cs="Times New Roman"/>
          <w:b/>
          <w:bCs w:val="0"/>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Times New Roman" w:hAnsi="Times New Roman" w:eastAsia="仿宋_GB2312" w:cs="Times New Roman"/>
          <w:sz w:val="32"/>
          <w:szCs w:val="32"/>
        </w:rPr>
      </w:pPr>
    </w:p>
    <w:sectPr>
      <w:pgSz w:w="11906" w:h="16838"/>
      <w:pgMar w:top="1440" w:right="1274"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lOGNmMzRjNGNlNDQzYzU0NTVhMjMyZTQzNTllNTQifQ=="/>
  </w:docVars>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19D4EC6"/>
    <w:rsid w:val="13E638A8"/>
    <w:rsid w:val="15A40419"/>
    <w:rsid w:val="196F4EFC"/>
    <w:rsid w:val="1DCD19F7"/>
    <w:rsid w:val="1E70574F"/>
    <w:rsid w:val="234B4B78"/>
    <w:rsid w:val="261603E2"/>
    <w:rsid w:val="292C7C55"/>
    <w:rsid w:val="2B6E1E8F"/>
    <w:rsid w:val="2BE3606D"/>
    <w:rsid w:val="32EC5C70"/>
    <w:rsid w:val="3EA937DF"/>
    <w:rsid w:val="3FAE6FB3"/>
    <w:rsid w:val="41B827F4"/>
    <w:rsid w:val="4C5B59D9"/>
    <w:rsid w:val="4DE81EE1"/>
    <w:rsid w:val="59AE2032"/>
    <w:rsid w:val="5E1A2D65"/>
    <w:rsid w:val="61916A22"/>
    <w:rsid w:val="61F6204C"/>
    <w:rsid w:val="62A64AB3"/>
    <w:rsid w:val="6C7B2402"/>
    <w:rsid w:val="722030F4"/>
    <w:rsid w:val="7A112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671C-CA52-4EF4-B98A-383E006A9284}">
  <ds:schemaRefs/>
</ds:datastoreItem>
</file>

<file path=docProps/app.xml><?xml version="1.0" encoding="utf-8"?>
<Properties xmlns="http://schemas.openxmlformats.org/officeDocument/2006/extended-properties" xmlns:vt="http://schemas.openxmlformats.org/officeDocument/2006/docPropsVTypes">
  <Template>Normal</Template>
  <Pages>3</Pages>
  <Words>748</Words>
  <Characters>788</Characters>
  <Lines>43</Lines>
  <Paragraphs>12</Paragraphs>
  <TotalTime>188</TotalTime>
  <ScaleCrop>false</ScaleCrop>
  <LinksUpToDate>false</LinksUpToDate>
  <CharactersWithSpaces>788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2018-05-02T08:14:00Z</dcterms:created>
  <dc:creator>admin</dc:creator>
  <cp:lastModifiedBy>扬眉</cp:lastModifiedBy>
  <cp:lastPrinted>2018-12-26T07:42:00Z</cp:lastPrinted>
  <dcterms:modified xsi:type="dcterms:W3CDTF">2023-01-04T03:36:05Z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60D7F13D729E4D2287FAB81A8EE60475</vt:lpwstr>
  </property>
</Properties>
</file>