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rFonts w:hint="eastAsia"/>
          <w:sz w:val="56"/>
          <w:szCs w:val="56"/>
        </w:rPr>
      </w:pPr>
    </w:p>
    <w:p>
      <w:pPr>
        <w:pStyle w:val="12"/>
        <w:jc w:val="center"/>
        <w:rPr>
          <w:sz w:val="56"/>
          <w:szCs w:val="56"/>
        </w:rPr>
      </w:pPr>
    </w:p>
    <w:p>
      <w:pPr>
        <w:pStyle w:val="12"/>
        <w:jc w:val="center"/>
        <w:rPr>
          <w:sz w:val="84"/>
          <w:szCs w:val="84"/>
        </w:rPr>
      </w:pPr>
    </w:p>
    <w:p>
      <w:pPr>
        <w:pStyle w:val="12"/>
        <w:jc w:val="center"/>
        <w:rPr>
          <w:sz w:val="84"/>
          <w:szCs w:val="84"/>
        </w:rPr>
      </w:pPr>
    </w:p>
    <w:p>
      <w:pPr>
        <w:pStyle w:val="12"/>
        <w:jc w:val="center"/>
        <w:rPr>
          <w:sz w:val="84"/>
          <w:szCs w:val="84"/>
        </w:rPr>
      </w:pPr>
      <w:r>
        <w:rPr>
          <w:rFonts w:hint="eastAsia"/>
          <w:sz w:val="84"/>
          <w:szCs w:val="84"/>
        </w:rPr>
        <w:t>2021年度</w:t>
      </w:r>
    </w:p>
    <w:p>
      <w:pPr>
        <w:pStyle w:val="12"/>
        <w:jc w:val="center"/>
        <w:rPr>
          <w:sz w:val="84"/>
          <w:szCs w:val="84"/>
        </w:rPr>
      </w:pPr>
      <w:r>
        <w:rPr>
          <w:rFonts w:hint="eastAsia"/>
          <w:sz w:val="84"/>
          <w:szCs w:val="84"/>
          <w:lang w:eastAsia="zh-CN"/>
        </w:rPr>
        <w:t>岳阳市市场监督管理局</w:t>
      </w:r>
      <w:r>
        <w:rPr>
          <w:rFonts w:hint="eastAsia"/>
          <w:sz w:val="84"/>
          <w:szCs w:val="84"/>
          <w:lang w:val="en-US" w:eastAsia="zh-CN"/>
        </w:rPr>
        <w:t xml:space="preserve">   </w:t>
      </w:r>
      <w:r>
        <w:rPr>
          <w:rFonts w:hint="eastAsia"/>
          <w:sz w:val="84"/>
          <w:szCs w:val="84"/>
          <w:lang w:eastAsia="zh-CN"/>
        </w:rPr>
        <w:t>南湖新区分局</w:t>
      </w:r>
      <w:r>
        <w:rPr>
          <w:rFonts w:hint="eastAsia"/>
          <w:sz w:val="84"/>
          <w:szCs w:val="84"/>
        </w:rPr>
        <w:t>决算</w:t>
      </w: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sz w:val="32"/>
          <w:szCs w:val="32"/>
        </w:rPr>
      </w:pPr>
    </w:p>
    <w:p>
      <w:pPr>
        <w:pStyle w:val="12"/>
        <w:jc w:val="center"/>
        <w:rPr>
          <w:sz w:val="32"/>
          <w:szCs w:val="32"/>
        </w:rPr>
      </w:pPr>
    </w:p>
    <w:p>
      <w:pPr>
        <w:pStyle w:val="12"/>
        <w:jc w:val="center"/>
        <w:rPr>
          <w:sz w:val="32"/>
          <w:szCs w:val="32"/>
        </w:rPr>
      </w:pPr>
    </w:p>
    <w:p>
      <w:pPr>
        <w:pStyle w:val="12"/>
        <w:jc w:val="center"/>
        <w:rPr>
          <w:sz w:val="32"/>
          <w:szCs w:val="32"/>
        </w:rPr>
      </w:pPr>
    </w:p>
    <w:p>
      <w:pPr>
        <w:pStyle w:val="12"/>
        <w:spacing w:line="500" w:lineRule="exact"/>
        <w:jc w:val="both"/>
        <w:rPr>
          <w:b/>
          <w:sz w:val="36"/>
          <w:szCs w:val="28"/>
        </w:rPr>
      </w:pPr>
    </w:p>
    <w:p>
      <w:pPr>
        <w:pStyle w:val="12"/>
        <w:spacing w:line="500" w:lineRule="exact"/>
        <w:jc w:val="both"/>
        <w:rPr>
          <w:b/>
          <w:sz w:val="36"/>
          <w:szCs w:val="28"/>
        </w:rPr>
      </w:pPr>
    </w:p>
    <w:p>
      <w:pPr>
        <w:pStyle w:val="12"/>
        <w:spacing w:line="500" w:lineRule="exact"/>
        <w:jc w:val="center"/>
        <w:rPr>
          <w:b/>
          <w:sz w:val="36"/>
          <w:szCs w:val="28"/>
        </w:rPr>
      </w:pPr>
    </w:p>
    <w:p>
      <w:pPr>
        <w:pStyle w:val="12"/>
        <w:keepNext w:val="0"/>
        <w:keepLines w:val="0"/>
        <w:pageBreakBefore w:val="0"/>
        <w:widowControl w:val="0"/>
        <w:kinsoku/>
        <w:wordWrap/>
        <w:overflowPunct/>
        <w:topLinePunct w:val="0"/>
        <w:bidi w:val="0"/>
        <w:snapToGrid/>
        <w:spacing w:line="480" w:lineRule="exact"/>
        <w:jc w:val="center"/>
        <w:textAlignment w:val="auto"/>
        <w:rPr>
          <w:b/>
          <w:sz w:val="36"/>
          <w:szCs w:val="28"/>
        </w:rPr>
      </w:pPr>
      <w:r>
        <w:rPr>
          <w:rFonts w:hint="eastAsia"/>
          <w:b/>
          <w:sz w:val="36"/>
          <w:szCs w:val="28"/>
        </w:rPr>
        <w:t>目录</w:t>
      </w:r>
    </w:p>
    <w:p>
      <w:pPr>
        <w:pStyle w:val="12"/>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b/>
          <w:sz w:val="28"/>
          <w:szCs w:val="28"/>
        </w:rPr>
        <w:t>第一部分</w:t>
      </w:r>
      <w:r>
        <w:rPr>
          <w:rFonts w:hint="eastAsia"/>
          <w:b/>
          <w:sz w:val="28"/>
          <w:szCs w:val="28"/>
          <w:lang w:val="en-US" w:eastAsia="zh-CN"/>
        </w:rPr>
        <w:t xml:space="preserve">  </w:t>
      </w:r>
      <w:r>
        <w:rPr>
          <w:rFonts w:hint="eastAsia"/>
          <w:b/>
          <w:sz w:val="28"/>
          <w:szCs w:val="28"/>
          <w:lang w:eastAsia="zh-CN"/>
        </w:rPr>
        <w:t>岳阳市市场监督管理局南湖新区分局</w:t>
      </w:r>
      <w:r>
        <w:rPr>
          <w:rFonts w:hint="eastAsia"/>
          <w:b/>
          <w:sz w:val="28"/>
          <w:szCs w:val="28"/>
        </w:rPr>
        <w:t>单位概况</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hint="eastAsia" w:cs="仿宋_GB2312" w:asciiTheme="minorEastAsia" w:hAnsiTheme="minorEastAsia" w:eastAsiaTheme="minorEastAsia"/>
          <w:sz w:val="28"/>
          <w:szCs w:val="28"/>
          <w:lang w:eastAsia="zh-CN"/>
        </w:rPr>
      </w:pPr>
      <w:r>
        <w:rPr>
          <w:rFonts w:cs="仿宋_GB2312" w:asciiTheme="minorEastAsia" w:hAnsiTheme="minorEastAsia" w:eastAsiaTheme="minorEastAsia"/>
          <w:sz w:val="28"/>
          <w:szCs w:val="28"/>
        </w:rPr>
        <w:t>二、机构设置</w:t>
      </w:r>
      <w:r>
        <w:rPr>
          <w:rFonts w:hint="eastAsia" w:cs="仿宋_GB2312" w:asciiTheme="minorEastAsia" w:hAnsiTheme="minorEastAsia" w:eastAsiaTheme="minorEastAsia"/>
          <w:sz w:val="28"/>
          <w:szCs w:val="28"/>
          <w:lang w:eastAsia="zh-CN"/>
        </w:rPr>
        <w:t>及决算单位构成</w:t>
      </w:r>
    </w:p>
    <w:p>
      <w:pPr>
        <w:pStyle w:val="12"/>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第二部分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2"/>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第三部分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21年度部门决算情况说明</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keepNext w:val="0"/>
        <w:keepLines w:val="0"/>
        <w:pageBreakBefore w:val="0"/>
        <w:widowControl w:val="0"/>
        <w:kinsoku/>
        <w:wordWrap/>
        <w:overflowPunct/>
        <w:topLinePunct w:val="0"/>
        <w:bidi w:val="0"/>
        <w:snapToGrid/>
        <w:spacing w:line="480" w:lineRule="exact"/>
        <w:ind w:firstLine="700" w:firstLineChars="250"/>
        <w:jc w:val="left"/>
        <w:textAlignment w:val="auto"/>
        <w:rPr>
          <w:rFonts w:ascii="仿宋_GB2312" w:hAnsi="仿宋_GB2312" w:cs="仿宋_GB2312"/>
          <w:sz w:val="28"/>
          <w:szCs w:val="28"/>
        </w:rPr>
      </w:pPr>
      <w:r>
        <w:rPr>
          <w:rFonts w:ascii="仿宋_GB2312" w:hAnsi="仿宋_GB2312" w:cs="仿宋_GB2312"/>
          <w:sz w:val="28"/>
          <w:szCs w:val="28"/>
        </w:rPr>
        <w:t>二、收入决算情况说明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cs="仿宋_GB2312" w:eastAsiaTheme="minorEastAsia"/>
          <w:color w:val="000000"/>
          <w:kern w:val="0"/>
          <w:sz w:val="28"/>
          <w:szCs w:val="28"/>
          <w:lang w:eastAsia="zh-CN"/>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cs="仿宋_GB2312" w:asciiTheme="minorEastAsia" w:hAnsiTheme="minorEastAsia" w:eastAsiaTheme="minorEastAsia"/>
          <w:sz w:val="28"/>
          <w:szCs w:val="28"/>
        </w:rPr>
        <w:t>国有资本经营预算财政拨款支出决算</w:t>
      </w:r>
      <w:r>
        <w:rPr>
          <w:rFonts w:hint="eastAsia" w:cs="仿宋_GB2312" w:asciiTheme="minorEastAsia" w:hAnsiTheme="minorEastAsia"/>
          <w:sz w:val="28"/>
          <w:szCs w:val="28"/>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w:t>
      </w:r>
      <w:r>
        <w:rPr>
          <w:rFonts w:hint="eastAsia" w:ascii="仿宋_GB2312" w:hAnsi="仿宋_GB2312" w:cs="仿宋_GB2312"/>
          <w:color w:val="000000"/>
          <w:kern w:val="0"/>
          <w:sz w:val="28"/>
          <w:szCs w:val="28"/>
        </w:rPr>
        <w:t>政府采购支出说明</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lang w:eastAsia="zh-CN"/>
        </w:rPr>
      </w:pPr>
      <w:r>
        <w:rPr>
          <w:rFonts w:hint="eastAsia" w:ascii="仿宋_GB2312" w:hAnsi="仿宋_GB2312" w:cs="仿宋_GB2312" w:eastAsiaTheme="minorEastAsia"/>
          <w:sz w:val="28"/>
          <w:szCs w:val="28"/>
          <w:lang w:eastAsia="zh-CN"/>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黑体"/>
          <w:b/>
          <w:color w:val="000000"/>
          <w:kern w:val="0"/>
          <w:sz w:val="28"/>
          <w:szCs w:val="28"/>
        </w:rPr>
      </w:pPr>
      <w:r>
        <w:rPr>
          <w:rFonts w:ascii="黑体" w:hAnsi="黑体" w:eastAsia="黑体" w:cs="黑体"/>
          <w:b/>
          <w:color w:val="000000"/>
          <w:kern w:val="0"/>
          <w:sz w:val="28"/>
          <w:szCs w:val="28"/>
        </w:rPr>
        <w:t>第四部分</w:t>
      </w:r>
      <w:r>
        <w:rPr>
          <w:rFonts w:hint="eastAsia" w:ascii="黑体" w:hAnsi="黑体" w:eastAsia="黑体" w:cs="黑体"/>
          <w:b/>
          <w:color w:val="000000"/>
          <w:kern w:val="0"/>
          <w:sz w:val="28"/>
          <w:szCs w:val="28"/>
          <w:lang w:val="en-US" w:eastAsia="zh-CN"/>
        </w:rPr>
        <w:t xml:space="preserve">  </w:t>
      </w:r>
      <w:r>
        <w:rPr>
          <w:rFonts w:ascii="黑体" w:hAnsi="黑体" w:eastAsia="黑体" w:cs="黑体"/>
          <w:b/>
          <w:color w:val="000000"/>
          <w:kern w:val="0"/>
          <w:sz w:val="28"/>
          <w:szCs w:val="28"/>
        </w:rPr>
        <w:t>名词解释</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w:t>
      </w:r>
      <w:r>
        <w:rPr>
          <w:rFonts w:hint="eastAsia" w:ascii="黑体" w:hAnsi="黑体" w:eastAsia="黑体" w:cs="黑体"/>
          <w:b/>
          <w:color w:val="000000"/>
          <w:kern w:val="0"/>
          <w:sz w:val="28"/>
          <w:szCs w:val="28"/>
          <w:lang w:val="en-US" w:eastAsia="zh-CN"/>
        </w:rPr>
        <w:t xml:space="preserve">  </w:t>
      </w:r>
      <w:r>
        <w:rPr>
          <w:rFonts w:hint="eastAsia" w:ascii="黑体" w:hAnsi="黑体" w:eastAsia="黑体" w:cs="黑体"/>
          <w:b/>
          <w:color w:val="000000"/>
          <w:kern w:val="0"/>
          <w:sz w:val="28"/>
          <w:szCs w:val="28"/>
        </w:rPr>
        <w:t>附件</w:t>
      </w:r>
    </w:p>
    <w:p>
      <w:pPr>
        <w:keepNext w:val="0"/>
        <w:keepLines w:val="0"/>
        <w:pageBreakBefore w:val="0"/>
        <w:widowControl w:val="0"/>
        <w:kinsoku/>
        <w:wordWrap/>
        <w:overflowPunct/>
        <w:topLinePunct w:val="0"/>
        <w:bidi w:val="0"/>
        <w:snapToGrid/>
        <w:spacing w:line="620" w:lineRule="exact"/>
        <w:jc w:val="center"/>
        <w:textAlignment w:val="auto"/>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2"/>
        <w:jc w:val="center"/>
        <w:rPr>
          <w:sz w:val="84"/>
          <w:szCs w:val="84"/>
        </w:rPr>
      </w:pPr>
      <w:r>
        <w:rPr>
          <w:rFonts w:hint="eastAsia"/>
          <w:sz w:val="84"/>
          <w:szCs w:val="84"/>
        </w:rPr>
        <w:t>第一部分</w:t>
      </w:r>
      <w:r>
        <w:rPr>
          <w:sz w:val="84"/>
          <w:szCs w:val="84"/>
        </w:rPr>
        <w:t xml:space="preserve"> </w:t>
      </w:r>
    </w:p>
    <w:p>
      <w:pPr>
        <w:pStyle w:val="12"/>
        <w:jc w:val="center"/>
        <w:rPr>
          <w:sz w:val="84"/>
          <w:szCs w:val="84"/>
        </w:rPr>
      </w:pPr>
    </w:p>
    <w:p>
      <w:pPr>
        <w:pStyle w:val="12"/>
        <w:jc w:val="center"/>
        <w:rPr>
          <w:sz w:val="84"/>
          <w:szCs w:val="84"/>
        </w:rPr>
      </w:pPr>
      <w:r>
        <w:rPr>
          <w:rFonts w:hint="eastAsia"/>
          <w:sz w:val="84"/>
          <w:szCs w:val="84"/>
          <w:lang w:eastAsia="zh-CN"/>
        </w:rPr>
        <w:t>岳阳市市场监督管理局</w:t>
      </w:r>
      <w:r>
        <w:rPr>
          <w:rFonts w:hint="eastAsia"/>
          <w:sz w:val="84"/>
          <w:szCs w:val="84"/>
          <w:lang w:val="en-US" w:eastAsia="zh-CN"/>
        </w:rPr>
        <w:t xml:space="preserve">   </w:t>
      </w:r>
      <w:r>
        <w:rPr>
          <w:rFonts w:hint="eastAsia"/>
          <w:sz w:val="84"/>
          <w:szCs w:val="84"/>
          <w:lang w:eastAsia="zh-CN"/>
        </w:rPr>
        <w:t>南湖新区分局</w:t>
      </w:r>
      <w:r>
        <w:rPr>
          <w:rFonts w:hint="eastAsia"/>
          <w:sz w:val="84"/>
          <w:szCs w:val="84"/>
        </w:rPr>
        <w:t>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3"/>
        <w:ind w:left="0" w:leftChars="0" w:firstLine="0" w:firstLineChars="0"/>
        <w:jc w:val="left"/>
        <w:rPr>
          <w:rFonts w:ascii="黑体" w:hAnsi="黑体" w:eastAsia="黑体"/>
          <w:sz w:val="32"/>
          <w:szCs w:val="32"/>
        </w:rPr>
      </w:pPr>
    </w:p>
    <w:p>
      <w:pPr>
        <w:pStyle w:val="13"/>
        <w:ind w:left="0" w:leftChars="0" w:firstLine="0" w:firstLineChars="0"/>
        <w:jc w:val="left"/>
        <w:rPr>
          <w:rFonts w:ascii="黑体" w:hAnsi="黑体" w:eastAsia="黑体"/>
          <w:sz w:val="32"/>
          <w:szCs w:val="32"/>
        </w:rPr>
      </w:pPr>
    </w:p>
    <w:p>
      <w:pPr>
        <w:pStyle w:val="13"/>
        <w:numPr>
          <w:ilvl w:val="0"/>
          <w:numId w:val="0"/>
        </w:numPr>
        <w:ind w:leftChars="0" w:firstLine="640" w:firstLineChars="200"/>
        <w:jc w:val="left"/>
        <w:rPr>
          <w:rFonts w:ascii="黑体" w:hAnsi="黑体" w:eastAsia="黑体"/>
          <w:sz w:val="32"/>
          <w:szCs w:val="32"/>
        </w:rPr>
      </w:pPr>
      <w:r>
        <w:rPr>
          <w:rFonts w:hint="eastAsia" w:ascii="黑体" w:hAnsi="黑体" w:eastAsia="黑体"/>
          <w:sz w:val="32"/>
          <w:szCs w:val="32"/>
          <w:lang w:eastAsia="zh-CN"/>
        </w:rPr>
        <w:t>一、</w:t>
      </w:r>
      <w:r>
        <w:rPr>
          <w:rFonts w:ascii="黑体" w:hAnsi="黑体" w:eastAsia="黑体"/>
          <w:sz w:val="32"/>
          <w:szCs w:val="32"/>
        </w:rPr>
        <w:t>部门职责</w:t>
      </w:r>
    </w:p>
    <w:p>
      <w:pPr>
        <w:ind w:firstLine="640" w:firstLineChars="200"/>
        <w:jc w:val="left"/>
        <w:rPr>
          <w:rFonts w:hint="default" w:asciiTheme="minorEastAsia" w:hAnsiTheme="minorEastAsia"/>
          <w:sz w:val="32"/>
          <w:szCs w:val="32"/>
          <w:lang w:val="en-US" w:eastAsia="zh-CN"/>
        </w:rPr>
      </w:pPr>
      <w:r>
        <w:rPr>
          <w:rFonts w:hint="eastAsia" w:asciiTheme="minorEastAsia" w:hAnsiTheme="minorEastAsia"/>
          <w:sz w:val="32"/>
          <w:szCs w:val="32"/>
          <w:lang w:eastAsia="zh-CN"/>
        </w:rPr>
        <w:t>根据岳编办函</w:t>
      </w:r>
      <w:r>
        <w:rPr>
          <w:rFonts w:hint="eastAsia" w:asciiTheme="minorEastAsia" w:hAnsiTheme="minorEastAsia"/>
          <w:sz w:val="32"/>
          <w:szCs w:val="32"/>
          <w:lang w:val="en-US" w:eastAsia="zh-CN"/>
        </w:rPr>
        <w:t>[2021]170号《关于南湖新区市场监督管理局“三定”规定审核的批复》和附件《岳阳市南湖新区市场监督管理局职能配置、内设机构和人员编制规定（试行）》第三条，我局主要职责如下：</w:t>
      </w:r>
    </w:p>
    <w:p>
      <w:pPr>
        <w:ind w:firstLine="640" w:firstLineChars="200"/>
        <w:jc w:val="left"/>
        <w:rPr>
          <w:rFonts w:hint="eastAsia" w:asciiTheme="minorEastAsia" w:hAnsiTheme="minorEastAsia" w:eastAsiaTheme="minorEastAsia"/>
          <w:sz w:val="32"/>
          <w:szCs w:val="32"/>
          <w:lang w:eastAsia="zh-CN"/>
        </w:rPr>
      </w:pPr>
      <w:r>
        <w:rPr>
          <w:rFonts w:hint="eastAsia" w:asciiTheme="minorEastAsia" w:hAnsiTheme="minorEastAsia"/>
          <w:sz w:val="32"/>
          <w:szCs w:val="32"/>
        </w:rPr>
        <w:t>（一）</w:t>
      </w:r>
      <w:r>
        <w:rPr>
          <w:rFonts w:hint="eastAsia" w:asciiTheme="minorEastAsia" w:hAnsiTheme="minorEastAsia"/>
          <w:sz w:val="32"/>
          <w:szCs w:val="32"/>
          <w:lang w:eastAsia="zh-CN"/>
        </w:rPr>
        <w:t>负责市场综合监督管理。</w:t>
      </w:r>
    </w:p>
    <w:p>
      <w:pPr>
        <w:ind w:firstLine="640" w:firstLineChars="200"/>
        <w:jc w:val="left"/>
        <w:rPr>
          <w:rFonts w:hint="eastAsia" w:asciiTheme="minorEastAsia" w:hAnsiTheme="minorEastAsia"/>
          <w:sz w:val="32"/>
          <w:szCs w:val="32"/>
          <w:lang w:eastAsia="zh-CN"/>
        </w:rPr>
      </w:pPr>
      <w:r>
        <w:rPr>
          <w:rFonts w:hint="eastAsia" w:asciiTheme="minorEastAsia" w:hAnsiTheme="minorEastAsia"/>
          <w:sz w:val="32"/>
          <w:szCs w:val="32"/>
        </w:rPr>
        <w:t>（二）</w:t>
      </w:r>
      <w:r>
        <w:rPr>
          <w:rFonts w:hint="eastAsia" w:asciiTheme="minorEastAsia" w:hAnsiTheme="minorEastAsia"/>
          <w:sz w:val="32"/>
          <w:szCs w:val="32"/>
          <w:lang w:eastAsia="zh-CN"/>
        </w:rPr>
        <w:t>负责市场主体统一登记注册。</w:t>
      </w:r>
    </w:p>
    <w:p>
      <w:pPr>
        <w:ind w:firstLine="640" w:firstLineChars="200"/>
        <w:jc w:val="left"/>
        <w:rPr>
          <w:rFonts w:hint="eastAsia" w:asciiTheme="minorEastAsia" w:hAnsiTheme="minorEastAsia"/>
          <w:sz w:val="32"/>
          <w:szCs w:val="32"/>
          <w:lang w:val="en-US" w:eastAsia="zh-CN"/>
        </w:rPr>
      </w:pPr>
      <w:r>
        <w:rPr>
          <w:rFonts w:hint="eastAsia" w:asciiTheme="minorEastAsia" w:hAnsiTheme="minorEastAsia"/>
          <w:sz w:val="32"/>
          <w:szCs w:val="32"/>
          <w:lang w:val="en-US" w:eastAsia="zh-CN"/>
        </w:rPr>
        <w:t>（三）负责市场主体信息公示和共享机制建设。</w:t>
      </w:r>
    </w:p>
    <w:p>
      <w:pPr>
        <w:ind w:firstLine="640" w:firstLineChars="200"/>
        <w:jc w:val="left"/>
        <w:rPr>
          <w:rFonts w:hint="eastAsia" w:asciiTheme="minorEastAsia" w:hAnsiTheme="minorEastAsia"/>
          <w:sz w:val="32"/>
          <w:szCs w:val="32"/>
          <w:lang w:val="en-US" w:eastAsia="zh-CN"/>
        </w:rPr>
      </w:pPr>
      <w:r>
        <w:rPr>
          <w:rFonts w:hint="eastAsia" w:asciiTheme="minorEastAsia" w:hAnsiTheme="minorEastAsia"/>
          <w:sz w:val="32"/>
          <w:szCs w:val="32"/>
          <w:lang w:val="en-US" w:eastAsia="zh-CN"/>
        </w:rPr>
        <w:t>（四）负责组织和实施市场监管综合行政执法工作。</w:t>
      </w:r>
    </w:p>
    <w:p>
      <w:pPr>
        <w:ind w:firstLine="640" w:firstLineChars="200"/>
        <w:jc w:val="left"/>
        <w:rPr>
          <w:rFonts w:hint="eastAsia" w:asciiTheme="minorEastAsia" w:hAnsiTheme="minorEastAsia"/>
          <w:sz w:val="32"/>
          <w:szCs w:val="32"/>
          <w:lang w:val="en-US" w:eastAsia="zh-CN"/>
        </w:rPr>
      </w:pPr>
      <w:r>
        <w:rPr>
          <w:rFonts w:hint="eastAsia" w:asciiTheme="minorEastAsia" w:hAnsiTheme="minorEastAsia"/>
          <w:sz w:val="32"/>
          <w:szCs w:val="32"/>
          <w:lang w:val="en-US" w:eastAsia="zh-CN"/>
        </w:rPr>
        <w:t>（五）负责监督管理市场秩序。</w:t>
      </w:r>
    </w:p>
    <w:p>
      <w:pPr>
        <w:ind w:firstLine="640" w:firstLineChars="200"/>
        <w:jc w:val="left"/>
        <w:rPr>
          <w:rFonts w:hint="eastAsia" w:asciiTheme="minorEastAsia" w:hAnsiTheme="minorEastAsia"/>
          <w:sz w:val="32"/>
          <w:szCs w:val="32"/>
          <w:lang w:val="en-US" w:eastAsia="zh-CN"/>
        </w:rPr>
      </w:pPr>
      <w:r>
        <w:rPr>
          <w:rFonts w:hint="eastAsia" w:asciiTheme="minorEastAsia" w:hAnsiTheme="minorEastAsia"/>
          <w:sz w:val="32"/>
          <w:szCs w:val="32"/>
          <w:lang w:val="en-US" w:eastAsia="zh-CN"/>
        </w:rPr>
        <w:t>（六）负责宏观质量管理。</w:t>
      </w:r>
    </w:p>
    <w:p>
      <w:pPr>
        <w:ind w:firstLine="640" w:firstLineChars="200"/>
        <w:jc w:val="left"/>
        <w:rPr>
          <w:rFonts w:hint="eastAsia" w:asciiTheme="minorEastAsia" w:hAnsiTheme="minorEastAsia"/>
          <w:sz w:val="32"/>
          <w:szCs w:val="32"/>
          <w:lang w:val="en-US" w:eastAsia="zh-CN"/>
        </w:rPr>
      </w:pPr>
      <w:r>
        <w:rPr>
          <w:rFonts w:hint="eastAsia" w:asciiTheme="minorEastAsia" w:hAnsiTheme="minorEastAsia"/>
          <w:sz w:val="32"/>
          <w:szCs w:val="32"/>
          <w:lang w:val="en-US" w:eastAsia="zh-CN"/>
        </w:rPr>
        <w:t>（七）负责产品质量安全监督管理。</w:t>
      </w:r>
    </w:p>
    <w:p>
      <w:pPr>
        <w:ind w:firstLine="640" w:firstLineChars="200"/>
        <w:jc w:val="left"/>
        <w:rPr>
          <w:rFonts w:hint="eastAsia" w:asciiTheme="minorEastAsia" w:hAnsiTheme="minorEastAsia"/>
          <w:sz w:val="32"/>
          <w:szCs w:val="32"/>
          <w:lang w:val="en-US" w:eastAsia="zh-CN"/>
        </w:rPr>
      </w:pPr>
      <w:r>
        <w:rPr>
          <w:rFonts w:hint="eastAsia" w:asciiTheme="minorEastAsia" w:hAnsiTheme="minorEastAsia"/>
          <w:sz w:val="32"/>
          <w:szCs w:val="32"/>
          <w:lang w:val="en-US" w:eastAsia="zh-CN"/>
        </w:rPr>
        <w:t>（八）负责特种设备安全监督管理。</w:t>
      </w:r>
    </w:p>
    <w:p>
      <w:pPr>
        <w:ind w:firstLine="640" w:firstLineChars="200"/>
        <w:jc w:val="left"/>
        <w:rPr>
          <w:rFonts w:hint="eastAsia" w:asciiTheme="minorEastAsia" w:hAnsiTheme="minorEastAsia"/>
          <w:sz w:val="32"/>
          <w:szCs w:val="32"/>
          <w:lang w:val="en-US" w:eastAsia="zh-CN"/>
        </w:rPr>
      </w:pPr>
      <w:r>
        <w:rPr>
          <w:rFonts w:hint="eastAsia" w:asciiTheme="minorEastAsia" w:hAnsiTheme="minorEastAsia"/>
          <w:sz w:val="32"/>
          <w:szCs w:val="32"/>
          <w:lang w:val="en-US" w:eastAsia="zh-CN"/>
        </w:rPr>
        <w:t>（九）负责食品安全监督管理综合协调。</w:t>
      </w:r>
    </w:p>
    <w:p>
      <w:pPr>
        <w:ind w:firstLine="640" w:firstLineChars="200"/>
        <w:jc w:val="left"/>
        <w:rPr>
          <w:rFonts w:hint="eastAsia" w:asciiTheme="minorEastAsia" w:hAnsiTheme="minorEastAsia"/>
          <w:sz w:val="32"/>
          <w:szCs w:val="32"/>
          <w:lang w:val="en-US" w:eastAsia="zh-CN"/>
        </w:rPr>
      </w:pPr>
      <w:r>
        <w:rPr>
          <w:rFonts w:hint="eastAsia" w:asciiTheme="minorEastAsia" w:hAnsiTheme="minorEastAsia"/>
          <w:sz w:val="32"/>
          <w:szCs w:val="32"/>
          <w:lang w:val="en-US" w:eastAsia="zh-CN"/>
        </w:rPr>
        <w:t>（十）负责食品安全监督管理。</w:t>
      </w:r>
    </w:p>
    <w:p>
      <w:pPr>
        <w:ind w:firstLine="640" w:firstLineChars="200"/>
        <w:jc w:val="left"/>
        <w:rPr>
          <w:rFonts w:hint="eastAsia" w:asciiTheme="minorEastAsia" w:hAnsiTheme="minorEastAsia"/>
          <w:sz w:val="32"/>
          <w:szCs w:val="32"/>
          <w:lang w:val="en-US" w:eastAsia="zh-CN"/>
        </w:rPr>
      </w:pPr>
      <w:r>
        <w:rPr>
          <w:rFonts w:hint="eastAsia" w:asciiTheme="minorEastAsia" w:hAnsiTheme="minorEastAsia"/>
          <w:sz w:val="32"/>
          <w:szCs w:val="32"/>
          <w:lang w:val="en-US" w:eastAsia="zh-CN"/>
        </w:rPr>
        <w:t>（十一）负责统一管理计量工作。</w:t>
      </w:r>
    </w:p>
    <w:p>
      <w:pPr>
        <w:ind w:firstLine="640" w:firstLineChars="200"/>
        <w:jc w:val="left"/>
        <w:rPr>
          <w:rFonts w:hint="eastAsia" w:asciiTheme="minorEastAsia" w:hAnsiTheme="minorEastAsia"/>
          <w:sz w:val="32"/>
          <w:szCs w:val="32"/>
          <w:lang w:val="en-US" w:eastAsia="zh-CN"/>
        </w:rPr>
      </w:pPr>
      <w:r>
        <w:rPr>
          <w:rFonts w:hint="eastAsia" w:asciiTheme="minorEastAsia" w:hAnsiTheme="minorEastAsia"/>
          <w:sz w:val="32"/>
          <w:szCs w:val="32"/>
          <w:lang w:val="en-US" w:eastAsia="zh-CN"/>
        </w:rPr>
        <w:t>（十二）负责统一管理标准化工作。</w:t>
      </w:r>
    </w:p>
    <w:p>
      <w:pPr>
        <w:ind w:firstLine="640" w:firstLineChars="200"/>
        <w:jc w:val="left"/>
        <w:rPr>
          <w:rFonts w:hint="eastAsia" w:asciiTheme="minorEastAsia" w:hAnsiTheme="minorEastAsia"/>
          <w:sz w:val="32"/>
          <w:szCs w:val="32"/>
          <w:lang w:val="en-US" w:eastAsia="zh-CN"/>
        </w:rPr>
      </w:pPr>
      <w:r>
        <w:rPr>
          <w:rFonts w:hint="eastAsia" w:asciiTheme="minorEastAsia" w:hAnsiTheme="minorEastAsia"/>
          <w:sz w:val="32"/>
          <w:szCs w:val="32"/>
          <w:lang w:val="en-US" w:eastAsia="zh-CN"/>
        </w:rPr>
        <w:t>（十三）负责统一管理全区检验检测工作。</w:t>
      </w:r>
    </w:p>
    <w:p>
      <w:pPr>
        <w:ind w:firstLine="640" w:firstLineChars="200"/>
        <w:jc w:val="left"/>
        <w:rPr>
          <w:rFonts w:hint="eastAsia" w:asciiTheme="minorEastAsia" w:hAnsiTheme="minorEastAsia"/>
          <w:sz w:val="32"/>
          <w:szCs w:val="32"/>
          <w:lang w:val="en-US" w:eastAsia="zh-CN"/>
        </w:rPr>
      </w:pPr>
      <w:r>
        <w:rPr>
          <w:rFonts w:hint="eastAsia" w:asciiTheme="minorEastAsia" w:hAnsiTheme="minorEastAsia"/>
          <w:sz w:val="32"/>
          <w:szCs w:val="32"/>
          <w:lang w:val="en-US" w:eastAsia="zh-CN"/>
        </w:rPr>
        <w:t>（十四）负责统一管理、监督和综合协调认证认可工作。</w:t>
      </w:r>
    </w:p>
    <w:p>
      <w:pPr>
        <w:ind w:firstLine="640" w:firstLineChars="200"/>
        <w:jc w:val="left"/>
        <w:rPr>
          <w:rFonts w:hint="eastAsia" w:asciiTheme="minorEastAsia" w:hAnsiTheme="minorEastAsia"/>
          <w:sz w:val="32"/>
          <w:szCs w:val="32"/>
          <w:lang w:val="en-US" w:eastAsia="zh-CN"/>
        </w:rPr>
      </w:pPr>
      <w:r>
        <w:rPr>
          <w:rFonts w:hint="eastAsia" w:asciiTheme="minorEastAsia" w:hAnsiTheme="minorEastAsia"/>
          <w:sz w:val="32"/>
          <w:szCs w:val="32"/>
          <w:lang w:val="en-US" w:eastAsia="zh-CN"/>
        </w:rPr>
        <w:t>（十五）负责知识产权监督管理。</w:t>
      </w:r>
    </w:p>
    <w:p>
      <w:pPr>
        <w:ind w:firstLine="640" w:firstLineChars="200"/>
        <w:jc w:val="left"/>
        <w:rPr>
          <w:rFonts w:hint="eastAsia" w:asciiTheme="minorEastAsia" w:hAnsiTheme="minorEastAsia"/>
          <w:sz w:val="32"/>
          <w:szCs w:val="32"/>
          <w:lang w:val="en-US" w:eastAsia="zh-CN"/>
        </w:rPr>
      </w:pPr>
      <w:r>
        <w:rPr>
          <w:rFonts w:hint="eastAsia" w:asciiTheme="minorEastAsia" w:hAnsiTheme="minorEastAsia"/>
          <w:sz w:val="32"/>
          <w:szCs w:val="32"/>
          <w:lang w:val="en-US" w:eastAsia="zh-CN"/>
        </w:rPr>
        <w:t>（十六）负责药品、医疗器械和化妆品安全监督管理。</w:t>
      </w:r>
    </w:p>
    <w:p>
      <w:pPr>
        <w:ind w:firstLine="640" w:firstLineChars="200"/>
        <w:jc w:val="left"/>
        <w:rPr>
          <w:rFonts w:hint="eastAsia" w:asciiTheme="minorEastAsia" w:hAnsiTheme="minorEastAsia"/>
          <w:sz w:val="32"/>
          <w:szCs w:val="32"/>
          <w:lang w:val="en-US" w:eastAsia="zh-CN"/>
        </w:rPr>
      </w:pPr>
      <w:r>
        <w:rPr>
          <w:rFonts w:hint="eastAsia" w:asciiTheme="minorEastAsia" w:hAnsiTheme="minorEastAsia"/>
          <w:sz w:val="32"/>
          <w:szCs w:val="32"/>
          <w:lang w:val="en-US" w:eastAsia="zh-CN"/>
        </w:rPr>
        <w:t>（十七）实施药品、医疗器械和化妆品上市后风险管理。</w:t>
      </w:r>
    </w:p>
    <w:p>
      <w:pPr>
        <w:ind w:firstLine="640" w:firstLineChars="200"/>
        <w:jc w:val="left"/>
        <w:rPr>
          <w:rFonts w:hint="eastAsia" w:asciiTheme="minorEastAsia" w:hAnsiTheme="minorEastAsia"/>
          <w:sz w:val="32"/>
          <w:szCs w:val="32"/>
          <w:lang w:val="en-US" w:eastAsia="zh-CN"/>
        </w:rPr>
      </w:pPr>
      <w:r>
        <w:rPr>
          <w:rFonts w:hint="eastAsia" w:asciiTheme="minorEastAsia" w:hAnsiTheme="minorEastAsia"/>
          <w:sz w:val="32"/>
          <w:szCs w:val="32"/>
          <w:lang w:val="en-US" w:eastAsia="zh-CN"/>
        </w:rPr>
        <w:t>（十八）负责市场监督管理科技和信息化建设、新闻宣传、交流与合作。</w:t>
      </w:r>
    </w:p>
    <w:p>
      <w:pPr>
        <w:ind w:firstLine="640" w:firstLineChars="200"/>
        <w:jc w:val="left"/>
        <w:rPr>
          <w:rFonts w:hint="default" w:asciiTheme="minorEastAsia" w:hAnsiTheme="minorEastAsia"/>
          <w:sz w:val="32"/>
          <w:szCs w:val="32"/>
          <w:lang w:val="en-US" w:eastAsia="zh-CN"/>
        </w:rPr>
      </w:pPr>
      <w:r>
        <w:rPr>
          <w:rFonts w:hint="eastAsia" w:asciiTheme="minorEastAsia" w:hAnsiTheme="minorEastAsia"/>
          <w:sz w:val="32"/>
          <w:szCs w:val="32"/>
          <w:lang w:val="en-US" w:eastAsia="zh-CN"/>
        </w:rPr>
        <w:t>（十九）负责本单位、本系统的信访维稳和安全生产工作；完成区工委、区管委会交办的其他任务。</w:t>
      </w:r>
    </w:p>
    <w:p>
      <w:pPr>
        <w:widowControl/>
        <w:spacing w:line="600" w:lineRule="exact"/>
        <w:ind w:firstLine="640" w:firstLineChars="200"/>
        <w:rPr>
          <w:rFonts w:ascii="黑体" w:hAnsi="黑体" w:eastAsia="黑体"/>
          <w:bCs/>
          <w:kern w:val="0"/>
          <w:sz w:val="32"/>
          <w:szCs w:val="32"/>
        </w:rPr>
      </w:pPr>
      <w:r>
        <w:rPr>
          <w:rFonts w:hint="eastAsia" w:ascii="黑体" w:hAnsi="黑体" w:eastAsia="黑体"/>
          <w:bCs/>
          <w:kern w:val="0"/>
          <w:sz w:val="32"/>
          <w:szCs w:val="32"/>
          <w:lang w:eastAsia="zh-CN"/>
        </w:rPr>
        <w:t>二、</w:t>
      </w:r>
      <w:r>
        <w:rPr>
          <w:rFonts w:hint="eastAsia" w:ascii="黑体" w:hAnsi="黑体" w:eastAsia="黑体"/>
          <w:bCs/>
          <w:kern w:val="0"/>
          <w:sz w:val="32"/>
          <w:szCs w:val="32"/>
        </w:rPr>
        <w:t>机构设置及决算单位构成</w:t>
      </w:r>
    </w:p>
    <w:p>
      <w:pPr>
        <w:widowControl/>
        <w:spacing w:line="600" w:lineRule="exact"/>
        <w:ind w:firstLine="640" w:firstLineChars="200"/>
        <w:rPr>
          <w:rFonts w:hint="eastAsia" w:asciiTheme="minorEastAsia" w:hAnsiTheme="minorEastAsia"/>
          <w:bCs/>
          <w:kern w:val="0"/>
          <w:sz w:val="32"/>
          <w:szCs w:val="32"/>
          <w:lang w:val="en-US" w:eastAsia="zh-CN"/>
        </w:rPr>
      </w:pPr>
      <w:r>
        <w:rPr>
          <w:rFonts w:hint="eastAsia" w:asciiTheme="minorEastAsia" w:hAnsiTheme="minorEastAsia"/>
          <w:bCs/>
          <w:kern w:val="0"/>
          <w:sz w:val="32"/>
          <w:szCs w:val="32"/>
        </w:rPr>
        <w:t>（一）内设机构设置。</w:t>
      </w:r>
      <w:r>
        <w:rPr>
          <w:rFonts w:hint="eastAsia" w:asciiTheme="minorEastAsia" w:hAnsiTheme="minorEastAsia"/>
          <w:bCs/>
          <w:kern w:val="0"/>
          <w:sz w:val="32"/>
          <w:szCs w:val="32"/>
          <w:lang w:eastAsia="zh-CN"/>
        </w:rPr>
        <w:t>根据岳编办发</w:t>
      </w:r>
      <w:r>
        <w:rPr>
          <w:rFonts w:hint="eastAsia" w:asciiTheme="minorEastAsia" w:hAnsiTheme="minorEastAsia"/>
          <w:bCs/>
          <w:kern w:val="0"/>
          <w:sz w:val="32"/>
          <w:szCs w:val="32"/>
          <w:lang w:val="en-US" w:eastAsia="zh-CN"/>
        </w:rPr>
        <w:t>[2019]6号，市市场监管局南湖新区分局内设机构包括：办公室、财务股、人事股、注册登记股（非公党建办公室）、信用监督管理股、市场监督管理股、经济监察股、食品安全监管股、药品安全监管股、质量技术监管股。</w:t>
      </w:r>
    </w:p>
    <w:p>
      <w:pPr>
        <w:pStyle w:val="2"/>
        <w:rPr>
          <w:rFonts w:hint="default"/>
          <w:b w:val="0"/>
          <w:bCs w:val="0"/>
          <w:lang w:val="en-US" w:eastAsia="zh-CN"/>
        </w:rPr>
      </w:pPr>
      <w:r>
        <w:rPr>
          <w:rFonts w:hint="eastAsia" w:asciiTheme="minorEastAsia" w:hAnsiTheme="minorEastAsia"/>
          <w:b w:val="0"/>
          <w:bCs w:val="0"/>
          <w:kern w:val="0"/>
          <w:sz w:val="32"/>
          <w:szCs w:val="32"/>
          <w:lang w:val="en-US" w:eastAsia="zh-CN"/>
        </w:rPr>
        <w:t>（二）派出机构：</w:t>
      </w:r>
      <w:r>
        <w:rPr>
          <w:rFonts w:hint="eastAsia" w:asciiTheme="minorEastAsia" w:hAnsiTheme="minorEastAsia"/>
          <w:b w:val="0"/>
          <w:bCs w:val="0"/>
          <w:sz w:val="32"/>
          <w:szCs w:val="32"/>
          <w:lang w:eastAsia="zh-CN"/>
        </w:rPr>
        <w:t>根据岳编办函</w:t>
      </w:r>
      <w:r>
        <w:rPr>
          <w:rFonts w:hint="eastAsia" w:asciiTheme="minorEastAsia" w:hAnsiTheme="minorEastAsia"/>
          <w:b w:val="0"/>
          <w:bCs w:val="0"/>
          <w:sz w:val="32"/>
          <w:szCs w:val="32"/>
          <w:lang w:val="en-US" w:eastAsia="zh-CN"/>
        </w:rPr>
        <w:t>[2021]170号附件第六条</w:t>
      </w:r>
      <w:r>
        <w:rPr>
          <w:rFonts w:hint="eastAsia" w:asciiTheme="minorEastAsia" w:hAnsiTheme="minorEastAsia"/>
          <w:sz w:val="32"/>
          <w:szCs w:val="32"/>
          <w:lang w:val="en-US" w:eastAsia="zh-CN"/>
        </w:rPr>
        <w:t>：</w:t>
      </w:r>
      <w:r>
        <w:rPr>
          <w:rFonts w:hint="eastAsia" w:asciiTheme="minorEastAsia" w:hAnsiTheme="minorEastAsia"/>
          <w:b w:val="0"/>
          <w:bCs w:val="0"/>
          <w:kern w:val="0"/>
          <w:sz w:val="32"/>
          <w:szCs w:val="32"/>
          <w:lang w:val="en-US" w:eastAsia="zh-CN"/>
        </w:rPr>
        <w:t>区市场监管局设立5个市场监督管理所（副科级），分别是：南湖市场监管所、湖滨市场监管所、求索市场监管所、龙山市场监管所、月山市场监管所。</w:t>
      </w:r>
    </w:p>
    <w:p>
      <w:pPr>
        <w:widowControl/>
        <w:numPr>
          <w:ilvl w:val="0"/>
          <w:numId w:val="0"/>
        </w:numPr>
        <w:spacing w:line="600" w:lineRule="exact"/>
        <w:ind w:firstLine="640" w:firstLineChars="200"/>
        <w:rPr>
          <w:rFonts w:hint="eastAsia" w:asciiTheme="minorEastAsia" w:hAnsiTheme="minorEastAsia"/>
          <w:bCs/>
          <w:kern w:val="0"/>
          <w:sz w:val="32"/>
          <w:szCs w:val="32"/>
        </w:rPr>
      </w:pPr>
      <w:r>
        <w:rPr>
          <w:rFonts w:hint="eastAsia" w:asciiTheme="minorEastAsia" w:hAnsiTheme="minorEastAsia"/>
          <w:bCs/>
          <w:kern w:val="0"/>
          <w:sz w:val="32"/>
          <w:szCs w:val="32"/>
          <w:lang w:eastAsia="zh-CN"/>
        </w:rPr>
        <w:t>（三）</w:t>
      </w:r>
      <w:r>
        <w:rPr>
          <w:rFonts w:hint="eastAsia" w:asciiTheme="minorEastAsia" w:hAnsiTheme="minorEastAsia"/>
          <w:bCs/>
          <w:kern w:val="0"/>
          <w:sz w:val="32"/>
          <w:szCs w:val="32"/>
        </w:rPr>
        <w:t>决算单位构成。</w:t>
      </w:r>
    </w:p>
    <w:p>
      <w:pPr>
        <w:widowControl/>
        <w:numPr>
          <w:ilvl w:val="0"/>
          <w:numId w:val="0"/>
        </w:numPr>
        <w:spacing w:line="600" w:lineRule="exact"/>
        <w:ind w:firstLine="640" w:firstLineChars="200"/>
        <w:rPr>
          <w:rFonts w:hint="eastAsia" w:asciiTheme="minorEastAsia" w:hAnsiTheme="minorEastAsia" w:eastAsiaTheme="minorEastAsia"/>
          <w:bCs/>
          <w:i/>
          <w:iCs/>
          <w:kern w:val="0"/>
          <w:sz w:val="32"/>
          <w:szCs w:val="32"/>
          <w:lang w:eastAsia="zh-CN"/>
        </w:rPr>
      </w:pPr>
      <w:r>
        <w:rPr>
          <w:rFonts w:hint="eastAsia" w:asciiTheme="minorEastAsia" w:hAnsiTheme="minorEastAsia"/>
          <w:bCs/>
          <w:kern w:val="0"/>
          <w:sz w:val="32"/>
          <w:szCs w:val="32"/>
          <w:lang w:eastAsia="zh-CN"/>
        </w:rPr>
        <w:t>岳阳市市场监督管理局南湖新区分局</w:t>
      </w:r>
      <w:r>
        <w:rPr>
          <w:rFonts w:asciiTheme="minorEastAsia" w:hAnsiTheme="minorEastAsia"/>
          <w:bCs/>
          <w:kern w:val="0"/>
          <w:sz w:val="32"/>
          <w:szCs w:val="32"/>
        </w:rPr>
        <w:t>20</w:t>
      </w:r>
      <w:r>
        <w:rPr>
          <w:rFonts w:hint="eastAsia" w:asciiTheme="minorEastAsia" w:hAnsiTheme="minorEastAsia"/>
          <w:bCs/>
          <w:kern w:val="0"/>
          <w:sz w:val="32"/>
          <w:szCs w:val="32"/>
        </w:rPr>
        <w:t>21年决算公开单位构成</w:t>
      </w:r>
      <w:r>
        <w:rPr>
          <w:rFonts w:hint="eastAsia" w:asciiTheme="minorEastAsia" w:hAnsiTheme="minorEastAsia"/>
          <w:bCs/>
          <w:kern w:val="0"/>
          <w:sz w:val="32"/>
          <w:szCs w:val="32"/>
          <w:lang w:eastAsia="zh-CN"/>
        </w:rPr>
        <w:t>仅</w:t>
      </w:r>
      <w:r>
        <w:rPr>
          <w:rFonts w:hint="eastAsia" w:asciiTheme="minorEastAsia" w:hAnsiTheme="minorEastAsia"/>
          <w:bCs/>
          <w:kern w:val="0"/>
          <w:sz w:val="32"/>
          <w:szCs w:val="32"/>
        </w:rPr>
        <w:t>包括：</w:t>
      </w:r>
      <w:r>
        <w:rPr>
          <w:rFonts w:hint="eastAsia" w:asciiTheme="minorEastAsia" w:hAnsiTheme="minorEastAsia"/>
          <w:bCs/>
          <w:kern w:val="0"/>
          <w:sz w:val="32"/>
          <w:szCs w:val="32"/>
          <w:lang w:eastAsia="zh-CN"/>
        </w:rPr>
        <w:t>岳阳市市场监督管理局南湖新区分局</w:t>
      </w:r>
      <w:r>
        <w:rPr>
          <w:rFonts w:hint="eastAsia" w:asciiTheme="minorEastAsia" w:hAnsiTheme="minorEastAsia"/>
          <w:bCs/>
          <w:kern w:val="0"/>
          <w:sz w:val="32"/>
          <w:szCs w:val="32"/>
        </w:rPr>
        <w:t>本级</w:t>
      </w:r>
      <w:r>
        <w:rPr>
          <w:rFonts w:hint="eastAsia" w:asciiTheme="minorEastAsia" w:hAnsiTheme="minorEastAsia"/>
          <w:bCs/>
          <w:kern w:val="0"/>
          <w:sz w:val="32"/>
          <w:szCs w:val="32"/>
          <w:lang w:eastAsia="zh-CN"/>
        </w:rPr>
        <w:t>。</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rFonts w:hint="eastAsia"/>
          <w:sz w:val="72"/>
          <w:szCs w:val="72"/>
        </w:rPr>
      </w:pPr>
      <w:r>
        <w:rPr>
          <w:rFonts w:hint="eastAsia"/>
          <w:sz w:val="72"/>
          <w:szCs w:val="72"/>
        </w:rPr>
        <w:t>部门决算表</w:t>
      </w:r>
    </w:p>
    <w:p>
      <w:pPr>
        <w:jc w:val="center"/>
        <w:rPr>
          <w:rFonts w:hint="eastAsia" w:eastAsiaTheme="minorEastAsia"/>
          <w:sz w:val="72"/>
          <w:szCs w:val="72"/>
          <w:lang w:eastAsia="zh-CN"/>
        </w:rPr>
      </w:pPr>
      <w:r>
        <w:rPr>
          <w:rFonts w:hint="eastAsia"/>
          <w:sz w:val="72"/>
          <w:szCs w:val="72"/>
          <w:lang w:eastAsia="zh-CN"/>
        </w:rPr>
        <w:t>（见附件）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2"/>
        <w:jc w:val="both"/>
        <w:rPr>
          <w:sz w:val="72"/>
          <w:szCs w:val="72"/>
        </w:rPr>
      </w:pPr>
    </w:p>
    <w:p>
      <w:pPr>
        <w:pStyle w:val="12"/>
        <w:jc w:val="center"/>
        <w:rPr>
          <w:sz w:val="72"/>
          <w:szCs w:val="72"/>
        </w:rPr>
      </w:pPr>
    </w:p>
    <w:p>
      <w:pPr>
        <w:pStyle w:val="12"/>
        <w:jc w:val="center"/>
        <w:rPr>
          <w:sz w:val="72"/>
          <w:szCs w:val="72"/>
        </w:rPr>
      </w:pPr>
      <w:r>
        <w:rPr>
          <w:rFonts w:hint="eastAsia"/>
          <w:sz w:val="72"/>
          <w:szCs w:val="72"/>
        </w:rPr>
        <w:t>第三部分</w:t>
      </w:r>
    </w:p>
    <w:p>
      <w:pPr>
        <w:pStyle w:val="12"/>
        <w:jc w:val="center"/>
        <w:rPr>
          <w:sz w:val="70"/>
          <w:szCs w:val="70"/>
        </w:rPr>
      </w:pPr>
    </w:p>
    <w:p>
      <w:pPr>
        <w:pStyle w:val="12"/>
        <w:jc w:val="center"/>
        <w:rPr>
          <w:sz w:val="70"/>
          <w:szCs w:val="70"/>
        </w:rPr>
      </w:pPr>
      <w:r>
        <w:rPr>
          <w:sz w:val="70"/>
          <w:szCs w:val="70"/>
        </w:rPr>
        <w:t>20</w:t>
      </w:r>
      <w:r>
        <w:rPr>
          <w:rFonts w:hint="eastAsia"/>
          <w:sz w:val="70"/>
          <w:szCs w:val="70"/>
        </w:rPr>
        <w:t>21年度决算情况说明</w:t>
      </w:r>
    </w:p>
    <w:p>
      <w:pPr>
        <w:widowControl/>
        <w:jc w:val="left"/>
        <w:rPr>
          <w:rFonts w:ascii="黑体" w:eastAsia="黑体" w:cs="黑体"/>
          <w:color w:val="000000"/>
          <w:kern w:val="0"/>
          <w:sz w:val="70"/>
          <w:szCs w:val="70"/>
        </w:rPr>
      </w:pPr>
      <w:r>
        <w:rPr>
          <w:sz w:val="70"/>
          <w:szCs w:val="70"/>
        </w:rPr>
        <w:br w:type="page"/>
      </w:r>
    </w:p>
    <w:p>
      <w:pPr>
        <w:pStyle w:val="12"/>
        <w:rPr>
          <w:rFonts w:asciiTheme="minorEastAsia" w:hAnsiTheme="minorEastAsia" w:eastAsiaTheme="minorEastAsia"/>
          <w:sz w:val="32"/>
          <w:szCs w:val="32"/>
        </w:rPr>
      </w:pPr>
    </w:p>
    <w:p>
      <w:pPr>
        <w:pStyle w:val="12"/>
        <w:ind w:firstLine="640" w:firstLineChars="200"/>
        <w:rPr>
          <w:rFonts w:hAnsi="黑体"/>
          <w:b/>
          <w:sz w:val="32"/>
          <w:szCs w:val="32"/>
        </w:rPr>
      </w:pPr>
      <w:r>
        <w:rPr>
          <w:rFonts w:hint="eastAsia" w:hAnsi="黑体"/>
          <w:b/>
          <w:sz w:val="32"/>
          <w:szCs w:val="32"/>
        </w:rPr>
        <w:t>一、收入支出决算总体情况说明</w:t>
      </w:r>
    </w:p>
    <w:p>
      <w:pPr>
        <w:pStyle w:val="12"/>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2021年度收、支总计</w:t>
      </w:r>
      <w:r>
        <w:rPr>
          <w:rFonts w:hint="eastAsia" w:asciiTheme="minorEastAsia" w:hAnsiTheme="minorEastAsia" w:eastAsiaTheme="minorEastAsia"/>
          <w:sz w:val="32"/>
          <w:szCs w:val="32"/>
          <w:lang w:val="en-US" w:eastAsia="zh-CN"/>
        </w:rPr>
        <w:t>1311.34</w:t>
      </w:r>
      <w:r>
        <w:rPr>
          <w:rFonts w:hint="eastAsia" w:asciiTheme="minorEastAsia" w:hAnsiTheme="minorEastAsia" w:eastAsiaTheme="minorEastAsia"/>
          <w:sz w:val="32"/>
          <w:szCs w:val="32"/>
        </w:rPr>
        <w:t>万元。与上年相比，增加</w:t>
      </w:r>
      <w:r>
        <w:rPr>
          <w:rFonts w:hint="eastAsia" w:asciiTheme="minorEastAsia" w:hAnsiTheme="minorEastAsia" w:eastAsiaTheme="minorEastAsia"/>
          <w:sz w:val="32"/>
          <w:szCs w:val="32"/>
          <w:lang w:val="en-US" w:eastAsia="zh-CN"/>
        </w:rPr>
        <w:t>116</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9.7</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事权下放到南湖新区管委会后，中心工作增多，专项支出增大。</w:t>
      </w:r>
    </w:p>
    <w:p>
      <w:pPr>
        <w:pStyle w:val="12"/>
        <w:ind w:firstLine="640" w:firstLineChars="200"/>
        <w:rPr>
          <w:rFonts w:hAnsi="黑体"/>
          <w:b/>
          <w:sz w:val="32"/>
          <w:szCs w:val="32"/>
        </w:rPr>
      </w:pPr>
      <w:r>
        <w:rPr>
          <w:rFonts w:hint="eastAsia" w:hAnsi="黑体"/>
          <w:b/>
          <w:sz w:val="32"/>
          <w:szCs w:val="32"/>
        </w:rPr>
        <w:t>二、收入决算情况说明</w:t>
      </w:r>
    </w:p>
    <w:p>
      <w:pPr>
        <w:pStyle w:val="12"/>
        <w:ind w:firstLine="640" w:firstLineChars="200"/>
        <w:rPr>
          <w:rFonts w:hint="eastAsia" w:asciiTheme="minorEastAsia" w:hAnsiTheme="minorEastAsia" w:eastAsiaTheme="minorEastAsia"/>
          <w:b w:val="0"/>
          <w:bCs w:val="0"/>
          <w:i/>
          <w:iCs/>
          <w:sz w:val="36"/>
          <w:szCs w:val="36"/>
        </w:rPr>
      </w:pPr>
      <w:r>
        <w:rPr>
          <w:rFonts w:hint="eastAsia" w:asciiTheme="minorEastAsia" w:hAnsiTheme="minorEastAsia" w:eastAsiaTheme="minorEastAsia"/>
          <w:sz w:val="32"/>
          <w:szCs w:val="32"/>
        </w:rPr>
        <w:t>2021年度收入合计</w:t>
      </w:r>
      <w:r>
        <w:rPr>
          <w:rFonts w:hint="eastAsia" w:asciiTheme="minorEastAsia" w:hAnsiTheme="minorEastAsia" w:eastAsiaTheme="minorEastAsia"/>
          <w:sz w:val="32"/>
          <w:szCs w:val="32"/>
          <w:lang w:val="en-US" w:eastAsia="zh-CN"/>
        </w:rPr>
        <w:t>1161.14</w:t>
      </w:r>
      <w:r>
        <w:rPr>
          <w:rFonts w:hint="eastAsia" w:asciiTheme="minorEastAsia" w:hAnsiTheme="minorEastAsia" w:eastAsiaTheme="minorEastAsia"/>
          <w:sz w:val="32"/>
          <w:szCs w:val="32"/>
        </w:rPr>
        <w:t>万元，其中：财政拨款收入</w:t>
      </w:r>
      <w:r>
        <w:rPr>
          <w:rFonts w:hint="eastAsia" w:asciiTheme="minorEastAsia" w:hAnsiTheme="minorEastAsia" w:eastAsiaTheme="minorEastAsia"/>
          <w:sz w:val="32"/>
          <w:szCs w:val="32"/>
          <w:lang w:val="en-US" w:eastAsia="zh-CN"/>
        </w:rPr>
        <w:t>843.15</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72.61</w:t>
      </w:r>
      <w:r>
        <w:rPr>
          <w:rFonts w:hint="eastAsia" w:asciiTheme="minorEastAsia" w:hAnsiTheme="minorEastAsia" w:eastAsiaTheme="minorEastAsia"/>
          <w:sz w:val="32"/>
          <w:szCs w:val="32"/>
        </w:rPr>
        <w:t>%；其他收入</w:t>
      </w:r>
      <w:r>
        <w:rPr>
          <w:rFonts w:hint="eastAsia" w:asciiTheme="minorEastAsia" w:hAnsiTheme="minorEastAsia" w:eastAsiaTheme="minorEastAsia"/>
          <w:sz w:val="32"/>
          <w:szCs w:val="32"/>
          <w:lang w:val="en-US" w:eastAsia="zh-CN"/>
        </w:rPr>
        <w:t>317.99</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27.39</w:t>
      </w:r>
      <w:r>
        <w:rPr>
          <w:rFonts w:hint="eastAsia" w:asciiTheme="minorEastAsia" w:hAnsiTheme="minorEastAsia" w:eastAsiaTheme="minorEastAsia"/>
          <w:sz w:val="32"/>
          <w:szCs w:val="32"/>
        </w:rPr>
        <w:t>%。</w:t>
      </w:r>
    </w:p>
    <w:p>
      <w:pPr>
        <w:pStyle w:val="12"/>
        <w:ind w:firstLine="640" w:firstLineChars="200"/>
        <w:rPr>
          <w:rFonts w:hAnsi="黑体"/>
          <w:b/>
          <w:sz w:val="32"/>
          <w:szCs w:val="32"/>
        </w:rPr>
      </w:pPr>
      <w:r>
        <w:rPr>
          <w:rFonts w:hint="eastAsia" w:hAnsi="黑体"/>
          <w:b/>
          <w:sz w:val="32"/>
          <w:szCs w:val="32"/>
        </w:rPr>
        <w:t>三、支出决算情况说明</w:t>
      </w:r>
    </w:p>
    <w:p>
      <w:pPr>
        <w:pStyle w:val="12"/>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2021年度支出合计</w:t>
      </w:r>
      <w:r>
        <w:rPr>
          <w:rFonts w:hint="eastAsia" w:asciiTheme="minorEastAsia" w:hAnsiTheme="minorEastAsia" w:eastAsiaTheme="minorEastAsia"/>
          <w:sz w:val="32"/>
          <w:szCs w:val="32"/>
          <w:lang w:val="en-US" w:eastAsia="zh-CN"/>
        </w:rPr>
        <w:t>1156.32</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640.23</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55.37</w:t>
      </w:r>
      <w:r>
        <w:rPr>
          <w:rFonts w:hint="eastAsia" w:asciiTheme="minorEastAsia" w:hAnsiTheme="minorEastAsia" w:eastAsiaTheme="minorEastAsia"/>
          <w:sz w:val="32"/>
          <w:szCs w:val="32"/>
        </w:rPr>
        <w:t>%；项目支出</w:t>
      </w:r>
      <w:r>
        <w:rPr>
          <w:rFonts w:hint="eastAsia" w:asciiTheme="minorEastAsia" w:hAnsiTheme="minorEastAsia" w:eastAsiaTheme="minorEastAsia"/>
          <w:sz w:val="32"/>
          <w:szCs w:val="32"/>
          <w:lang w:val="en-US" w:eastAsia="zh-CN"/>
        </w:rPr>
        <w:t>516.09</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44.63</w:t>
      </w:r>
      <w:r>
        <w:rPr>
          <w:rFonts w:hint="eastAsia" w:asciiTheme="minorEastAsia" w:hAnsiTheme="minorEastAsia" w:eastAsiaTheme="minorEastAsia"/>
          <w:sz w:val="32"/>
          <w:szCs w:val="32"/>
        </w:rPr>
        <w:t>%。</w:t>
      </w:r>
    </w:p>
    <w:p>
      <w:pPr>
        <w:pStyle w:val="12"/>
        <w:ind w:firstLine="640" w:firstLineChars="200"/>
        <w:rPr>
          <w:rFonts w:hAnsi="黑体"/>
          <w:b/>
          <w:sz w:val="32"/>
          <w:szCs w:val="32"/>
        </w:rPr>
      </w:pPr>
      <w:r>
        <w:rPr>
          <w:rFonts w:hint="eastAsia" w:hAnsi="黑体"/>
          <w:b/>
          <w:sz w:val="32"/>
          <w:szCs w:val="32"/>
        </w:rPr>
        <w:t>四、财政拨款收入支出决算总体情况说明</w:t>
      </w:r>
    </w:p>
    <w:p>
      <w:pPr>
        <w:pStyle w:val="12"/>
        <w:ind w:firstLine="640" w:firstLineChars="200"/>
        <w:rPr>
          <w:rFonts w:asciiTheme="minorEastAsia" w:hAnsiTheme="minorEastAsia" w:eastAsiaTheme="minorEastAsia"/>
          <w:i/>
          <w:iCs/>
          <w:sz w:val="32"/>
          <w:szCs w:val="32"/>
        </w:rPr>
      </w:pPr>
      <w:r>
        <w:rPr>
          <w:rFonts w:hint="eastAsia" w:asciiTheme="minorEastAsia" w:hAnsiTheme="minorEastAsia" w:eastAsiaTheme="minorEastAsia"/>
          <w:sz w:val="32"/>
          <w:szCs w:val="32"/>
        </w:rPr>
        <w:t>2021年度财政拨款收、支总计</w:t>
      </w:r>
      <w:r>
        <w:rPr>
          <w:rFonts w:hint="eastAsia" w:asciiTheme="minorEastAsia" w:hAnsiTheme="minorEastAsia" w:eastAsiaTheme="minorEastAsia"/>
          <w:sz w:val="32"/>
          <w:szCs w:val="32"/>
          <w:lang w:val="en-US" w:eastAsia="zh-CN"/>
        </w:rPr>
        <w:t>843.15</w:t>
      </w:r>
      <w:r>
        <w:rPr>
          <w:rFonts w:hint="eastAsia" w:asciiTheme="minorEastAsia" w:hAnsiTheme="minorEastAsia" w:eastAsiaTheme="minorEastAsia"/>
          <w:sz w:val="32"/>
          <w:szCs w:val="32"/>
        </w:rPr>
        <w:t>万元，与上年相比，减少</w:t>
      </w:r>
      <w:r>
        <w:rPr>
          <w:rFonts w:hint="eastAsia" w:asciiTheme="minorEastAsia" w:hAnsiTheme="minorEastAsia" w:eastAsiaTheme="minorEastAsia"/>
          <w:sz w:val="32"/>
          <w:szCs w:val="32"/>
          <w:lang w:val="en-US" w:eastAsia="zh-CN"/>
        </w:rPr>
        <w:t>97.8</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10.39</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人员经费减少。</w:t>
      </w:r>
    </w:p>
    <w:p>
      <w:pPr>
        <w:pStyle w:val="12"/>
        <w:ind w:firstLine="640" w:firstLineChars="200"/>
        <w:rPr>
          <w:rFonts w:hAnsi="黑体"/>
          <w:b/>
          <w:sz w:val="32"/>
          <w:szCs w:val="32"/>
        </w:rPr>
      </w:pPr>
      <w:r>
        <w:rPr>
          <w:rFonts w:hint="eastAsia" w:hAnsi="黑体"/>
          <w:b/>
          <w:sz w:val="32"/>
          <w:szCs w:val="32"/>
        </w:rPr>
        <w:t>五、一般公共预算财政拨款支出决算情况说明</w:t>
      </w:r>
    </w:p>
    <w:p>
      <w:pPr>
        <w:pStyle w:val="12"/>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2"/>
        <w:ind w:firstLine="800" w:firstLineChars="250"/>
        <w:rPr>
          <w:rFonts w:asciiTheme="minorEastAsia" w:hAnsiTheme="minorEastAsia" w:eastAsiaTheme="minorEastAsia"/>
          <w:i/>
          <w:iCs/>
          <w:sz w:val="32"/>
          <w:szCs w:val="32"/>
        </w:rPr>
      </w:pPr>
      <w:r>
        <w:rPr>
          <w:rFonts w:hint="eastAsia" w:asciiTheme="minorEastAsia" w:hAnsiTheme="minorEastAsia" w:eastAsiaTheme="minorEastAsia"/>
          <w:sz w:val="32"/>
          <w:szCs w:val="32"/>
        </w:rPr>
        <w:t>2021年度财政拨款支出</w:t>
      </w:r>
      <w:r>
        <w:rPr>
          <w:rFonts w:hint="eastAsia" w:asciiTheme="minorEastAsia" w:hAnsiTheme="minorEastAsia" w:eastAsiaTheme="minorEastAsia"/>
          <w:sz w:val="32"/>
          <w:szCs w:val="32"/>
          <w:lang w:val="en-US" w:eastAsia="zh-CN"/>
        </w:rPr>
        <w:t>843.15</w:t>
      </w:r>
      <w:r>
        <w:rPr>
          <w:rFonts w:hint="eastAsia" w:asciiTheme="minorEastAsia" w:hAnsiTheme="minorEastAsia" w:eastAsiaTheme="minorEastAsia"/>
          <w:sz w:val="32"/>
          <w:szCs w:val="32"/>
        </w:rPr>
        <w:t>万元，占本年支出合计的</w:t>
      </w:r>
      <w:r>
        <w:rPr>
          <w:rFonts w:hint="eastAsia" w:asciiTheme="minorEastAsia" w:hAnsiTheme="minorEastAsia" w:eastAsiaTheme="minorEastAsia"/>
          <w:sz w:val="32"/>
          <w:szCs w:val="32"/>
          <w:lang w:val="en-US" w:eastAsia="zh-CN"/>
        </w:rPr>
        <w:t>72.92</w:t>
      </w:r>
      <w:r>
        <w:rPr>
          <w:rFonts w:hint="eastAsia" w:asciiTheme="minorEastAsia" w:hAnsiTheme="minorEastAsia" w:eastAsiaTheme="minorEastAsia"/>
          <w:sz w:val="32"/>
          <w:szCs w:val="32"/>
        </w:rPr>
        <w:t>%，与上年相比，财政拨款支出减少</w:t>
      </w:r>
      <w:r>
        <w:rPr>
          <w:rFonts w:hint="eastAsia" w:asciiTheme="minorEastAsia" w:hAnsiTheme="minorEastAsia" w:eastAsiaTheme="minorEastAsia"/>
          <w:sz w:val="32"/>
          <w:szCs w:val="32"/>
          <w:lang w:val="en-US" w:eastAsia="zh-CN"/>
        </w:rPr>
        <w:t>97.8</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10.39</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人员经费减少。</w:t>
      </w:r>
    </w:p>
    <w:p>
      <w:pPr>
        <w:pStyle w:val="12"/>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w:t>
      </w:r>
      <w:r>
        <w:rPr>
          <w:rFonts w:hint="eastAsia" w:asciiTheme="minorEastAsia" w:hAnsiTheme="minorEastAsia" w:eastAsiaTheme="minorEastAsia"/>
          <w:sz w:val="32"/>
          <w:szCs w:val="32"/>
          <w:lang w:val="en-US" w:eastAsia="zh-CN"/>
        </w:rPr>
        <w:t>843.15</w:t>
      </w:r>
      <w:r>
        <w:rPr>
          <w:rFonts w:hint="eastAsia" w:asciiTheme="minorEastAsia" w:hAnsiTheme="minorEastAsia" w:eastAsiaTheme="minorEastAsia"/>
          <w:sz w:val="32"/>
          <w:szCs w:val="32"/>
        </w:rPr>
        <w:t>万元，主要用于以下方面：一般公共服务（类）支出</w:t>
      </w:r>
      <w:r>
        <w:rPr>
          <w:rFonts w:hint="eastAsia" w:asciiTheme="minorEastAsia" w:hAnsiTheme="minorEastAsia" w:eastAsiaTheme="minorEastAsia"/>
          <w:sz w:val="32"/>
          <w:szCs w:val="32"/>
          <w:lang w:val="en-US" w:eastAsia="zh-CN"/>
        </w:rPr>
        <w:t>761.22</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90.28</w:t>
      </w:r>
      <w:r>
        <w:rPr>
          <w:rFonts w:hint="eastAsia" w:asciiTheme="minorEastAsia" w:hAnsiTheme="minorEastAsia" w:eastAsiaTheme="minorEastAsia"/>
          <w:sz w:val="32"/>
          <w:szCs w:val="32"/>
        </w:rPr>
        <w:t>%；社会保障和就业支出</w:t>
      </w:r>
      <w:r>
        <w:rPr>
          <w:rFonts w:hint="eastAsia" w:asciiTheme="minorEastAsia" w:hAnsiTheme="minorEastAsia" w:eastAsiaTheme="minorEastAsia"/>
          <w:sz w:val="32"/>
          <w:szCs w:val="32"/>
          <w:lang w:val="en-US" w:eastAsia="zh-CN"/>
        </w:rPr>
        <w:t>58.03</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6.88</w:t>
      </w:r>
      <w:r>
        <w:rPr>
          <w:rFonts w:hint="eastAsia" w:asciiTheme="minorEastAsia" w:hAnsiTheme="minorEastAsia" w:eastAsiaTheme="minorEastAsia"/>
          <w:sz w:val="32"/>
          <w:szCs w:val="32"/>
        </w:rPr>
        <w:t>%;卫生健康支出</w:t>
      </w:r>
      <w:r>
        <w:rPr>
          <w:rFonts w:hint="eastAsia" w:asciiTheme="minorEastAsia" w:hAnsiTheme="minorEastAsia" w:eastAsiaTheme="minorEastAsia"/>
          <w:sz w:val="32"/>
          <w:szCs w:val="32"/>
          <w:lang w:val="en-US" w:eastAsia="zh-CN"/>
        </w:rPr>
        <w:t>23.89万元，占2.84</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p>
    <w:p>
      <w:pPr>
        <w:pStyle w:val="12"/>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w:t>
      </w:r>
      <w:r>
        <w:rPr>
          <w:rFonts w:hint="eastAsia" w:ascii="仿宋" w:hAnsi="仿宋" w:eastAsia="仿宋"/>
          <w:sz w:val="32"/>
          <w:szCs w:val="32"/>
          <w:lang w:val="en-US" w:eastAsia="zh-CN"/>
        </w:rPr>
        <w:t>582.26</w:t>
      </w:r>
      <w:r>
        <w:rPr>
          <w:rFonts w:hint="eastAsia" w:asciiTheme="minorEastAsia" w:hAnsiTheme="minorEastAsia" w:eastAsiaTheme="minorEastAsia"/>
          <w:sz w:val="32"/>
          <w:szCs w:val="32"/>
        </w:rPr>
        <w:t>万元，支出决算数为</w:t>
      </w:r>
      <w:r>
        <w:rPr>
          <w:rFonts w:hint="eastAsia" w:asciiTheme="minorEastAsia" w:hAnsiTheme="minorEastAsia" w:eastAsiaTheme="minorEastAsia"/>
          <w:sz w:val="32"/>
          <w:szCs w:val="32"/>
          <w:lang w:val="en-US" w:eastAsia="zh-CN"/>
        </w:rPr>
        <w:t>843.15</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144.80</w:t>
      </w:r>
      <w:r>
        <w:rPr>
          <w:rFonts w:hint="eastAsia" w:asciiTheme="minorEastAsia" w:hAnsiTheme="minorEastAsia" w:eastAsiaTheme="minorEastAsia"/>
          <w:sz w:val="32"/>
          <w:szCs w:val="32"/>
        </w:rPr>
        <w:t>%，其中：</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1、一般公共服务支出（类）市场监督管理事务（款）行政运行（项）。</w:t>
      </w:r>
    </w:p>
    <w:p>
      <w:pPr>
        <w:pStyle w:val="12"/>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2013801</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行政运行年初预算为</w:t>
      </w:r>
      <w:r>
        <w:rPr>
          <w:rFonts w:hint="eastAsia" w:asciiTheme="minorEastAsia" w:hAnsiTheme="minorEastAsia" w:eastAsiaTheme="minorEastAsia"/>
          <w:sz w:val="32"/>
          <w:szCs w:val="32"/>
          <w:lang w:val="en-US" w:eastAsia="zh-CN"/>
        </w:rPr>
        <w:t>499.04</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558.3</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111.87</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eastAsia="zh-CN"/>
        </w:rPr>
        <w:t>大</w:t>
      </w:r>
      <w:r>
        <w:rPr>
          <w:rFonts w:hint="eastAsia" w:asciiTheme="minorEastAsia" w:hAnsiTheme="minorEastAsia" w:eastAsiaTheme="minorEastAsia"/>
          <w:sz w:val="32"/>
          <w:szCs w:val="32"/>
        </w:rPr>
        <w:t>于年初预算数的主要原因是</w:t>
      </w:r>
      <w:r>
        <w:rPr>
          <w:rFonts w:hint="eastAsia" w:asciiTheme="minorEastAsia" w:hAnsiTheme="minorEastAsia" w:eastAsiaTheme="minorEastAsia"/>
          <w:sz w:val="32"/>
          <w:szCs w:val="32"/>
          <w:lang w:val="en-US" w:eastAsia="zh-CN"/>
        </w:rPr>
        <w:t>2020年度的部分奖金在2021年度发放，导致决算数大于年初预算数。</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2、一般公共服务支出（类）市场监督管理事务（款）一般行政管理事务（项）。</w:t>
      </w:r>
    </w:p>
    <w:p>
      <w:pPr>
        <w:pStyle w:val="12"/>
        <w:ind w:firstLine="800" w:firstLineChars="250"/>
        <w:rPr>
          <w:rFonts w:hint="eastAsia" w:asciiTheme="minorEastAsia" w:hAnsiTheme="minorEastAsia" w:eastAsiaTheme="minorEastAsia"/>
          <w:color w:val="auto"/>
          <w:sz w:val="32"/>
          <w:szCs w:val="32"/>
          <w:lang w:val="en-US" w:eastAsia="zh-CN"/>
        </w:rPr>
      </w:pP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color w:val="auto"/>
          <w:sz w:val="32"/>
          <w:szCs w:val="32"/>
          <w:lang w:val="en-US" w:eastAsia="zh-CN"/>
        </w:rPr>
        <w:t>2013802</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sz w:val="32"/>
          <w:szCs w:val="32"/>
        </w:rPr>
        <w:t>一般行政管理事务</w:t>
      </w: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131.93</w:t>
      </w:r>
      <w:r>
        <w:rPr>
          <w:rFonts w:hint="eastAsia" w:asciiTheme="minorEastAsia" w:hAnsiTheme="minorEastAsia" w:eastAsiaTheme="minorEastAsia"/>
          <w:color w:val="auto"/>
          <w:sz w:val="32"/>
          <w:szCs w:val="32"/>
        </w:rPr>
        <w:t>万元，决算数大于年初预算数的主要原因是：</w:t>
      </w:r>
      <w:r>
        <w:rPr>
          <w:rFonts w:hint="eastAsia" w:asciiTheme="minorEastAsia" w:hAnsiTheme="minorEastAsia" w:eastAsiaTheme="minorEastAsia"/>
          <w:color w:val="auto"/>
          <w:sz w:val="32"/>
          <w:szCs w:val="32"/>
          <w:lang w:val="en-US" w:eastAsia="zh-CN"/>
        </w:rPr>
        <w:t>食品安全抽检费未在年初预算中，在年终拨付，执法成本未在年初预算中，在执法收入完成时拨入，有些专项未在年初预算中，属于年中追加经费。</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rPr>
        <w:t>一般公共服务支出（类）市场监督管理事务（款）药品事务（项）。</w:t>
      </w:r>
    </w:p>
    <w:p>
      <w:pPr>
        <w:pStyle w:val="12"/>
        <w:ind w:firstLine="800" w:firstLineChars="250"/>
        <w:rPr>
          <w:rFonts w:hint="eastAsia" w:asciiTheme="minorEastAsia" w:hAnsiTheme="minorEastAsia" w:eastAsiaTheme="minorEastAsia"/>
          <w:color w:val="auto"/>
          <w:sz w:val="32"/>
          <w:szCs w:val="32"/>
          <w:lang w:val="en-US" w:eastAsia="zh-CN"/>
        </w:rPr>
      </w:pP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color w:val="auto"/>
          <w:sz w:val="32"/>
          <w:szCs w:val="32"/>
          <w:lang w:val="en-US" w:eastAsia="zh-CN"/>
        </w:rPr>
        <w:t>2013812</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sz w:val="32"/>
          <w:szCs w:val="32"/>
        </w:rPr>
        <w:t>药品事务</w:t>
      </w: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2</w:t>
      </w:r>
      <w:r>
        <w:rPr>
          <w:rFonts w:hint="eastAsia" w:asciiTheme="minorEastAsia" w:hAnsiTheme="minorEastAsia" w:eastAsiaTheme="minorEastAsia"/>
          <w:color w:val="auto"/>
          <w:sz w:val="32"/>
          <w:szCs w:val="32"/>
        </w:rPr>
        <w:t>万元，决算数大于年初预算数的主要原因是：</w:t>
      </w:r>
      <w:r>
        <w:rPr>
          <w:rFonts w:hint="eastAsia" w:asciiTheme="minorEastAsia" w:hAnsiTheme="minorEastAsia" w:eastAsiaTheme="minorEastAsia"/>
          <w:color w:val="auto"/>
          <w:sz w:val="32"/>
          <w:szCs w:val="32"/>
          <w:lang w:val="en-US" w:eastAsia="zh-CN"/>
        </w:rPr>
        <w:t>药品专项经费为年中中央转移支付资金。</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color w:val="auto"/>
          <w:sz w:val="32"/>
          <w:szCs w:val="32"/>
          <w:lang w:val="en-US" w:eastAsia="zh-CN"/>
        </w:rPr>
        <w:t>4、</w:t>
      </w:r>
      <w:r>
        <w:rPr>
          <w:rFonts w:hint="eastAsia" w:asciiTheme="minorEastAsia" w:hAnsiTheme="minorEastAsia" w:eastAsiaTheme="minorEastAsia"/>
          <w:sz w:val="32"/>
          <w:szCs w:val="32"/>
        </w:rPr>
        <w:t>一般公共服务支出（类）市场监督管理事务（款）食品安全监管（项）。</w:t>
      </w:r>
    </w:p>
    <w:p>
      <w:pPr>
        <w:pStyle w:val="12"/>
        <w:ind w:firstLine="800" w:firstLineChars="250"/>
        <w:rPr>
          <w:rFonts w:hint="eastAsia" w:asciiTheme="minorEastAsia" w:hAnsiTheme="minorEastAsia" w:eastAsiaTheme="minorEastAsia"/>
          <w:color w:val="auto"/>
          <w:sz w:val="32"/>
          <w:szCs w:val="32"/>
          <w:lang w:val="en-US" w:eastAsia="zh-CN"/>
        </w:rPr>
      </w:pP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color w:val="auto"/>
          <w:sz w:val="32"/>
          <w:szCs w:val="32"/>
          <w:lang w:val="en-US" w:eastAsia="zh-CN"/>
        </w:rPr>
        <w:t>2013816</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sz w:val="32"/>
          <w:szCs w:val="32"/>
        </w:rPr>
        <w:t>食品安全监管</w:t>
      </w: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30</w:t>
      </w:r>
      <w:r>
        <w:rPr>
          <w:rFonts w:hint="eastAsia" w:asciiTheme="minorEastAsia" w:hAnsiTheme="minorEastAsia" w:eastAsiaTheme="minorEastAsia"/>
          <w:color w:val="auto"/>
          <w:sz w:val="32"/>
          <w:szCs w:val="32"/>
        </w:rPr>
        <w:t>万元，决算数大于年初预算数的主要原因是：</w:t>
      </w:r>
      <w:r>
        <w:rPr>
          <w:rFonts w:hint="eastAsia" w:asciiTheme="minorEastAsia" w:hAnsiTheme="minorEastAsia" w:eastAsiaTheme="minorEastAsia"/>
          <w:color w:val="auto"/>
          <w:sz w:val="32"/>
          <w:szCs w:val="32"/>
          <w:lang w:val="en-US" w:eastAsia="zh-CN"/>
        </w:rPr>
        <w:t>食品安全监管专项经费为年中中央转移支付资金。</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color w:val="auto"/>
          <w:sz w:val="32"/>
          <w:szCs w:val="32"/>
          <w:lang w:val="en-US" w:eastAsia="zh-CN"/>
        </w:rPr>
        <w:t>5、</w:t>
      </w:r>
      <w:r>
        <w:rPr>
          <w:rFonts w:hint="eastAsia" w:asciiTheme="minorEastAsia" w:hAnsiTheme="minorEastAsia" w:eastAsiaTheme="minorEastAsia"/>
          <w:sz w:val="32"/>
          <w:szCs w:val="32"/>
        </w:rPr>
        <w:t>一般公共服务支出（类）市场监督管理事务（款）其他市场监督管理事务（项）。</w:t>
      </w:r>
    </w:p>
    <w:p>
      <w:pPr>
        <w:pStyle w:val="12"/>
        <w:ind w:firstLine="800" w:firstLineChars="250"/>
        <w:rPr>
          <w:rFonts w:hint="eastAsia" w:asciiTheme="minorEastAsia" w:hAnsiTheme="minorEastAsia" w:eastAsiaTheme="minorEastAsia"/>
          <w:color w:val="auto"/>
          <w:sz w:val="32"/>
          <w:szCs w:val="32"/>
          <w:lang w:val="en-US" w:eastAsia="zh-CN"/>
        </w:rPr>
      </w:pPr>
      <w:r>
        <w:rPr>
          <w:rFonts w:hint="eastAsia" w:asciiTheme="minorEastAsia" w:hAnsiTheme="minorEastAsia" w:eastAsiaTheme="minorEastAsia"/>
          <w:color w:val="auto"/>
          <w:sz w:val="32"/>
          <w:szCs w:val="32"/>
          <w:lang w:val="en-US" w:eastAsia="zh-CN"/>
        </w:rPr>
        <w:t>（2013899）其他市场监督管理事务</w:t>
      </w: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39</w:t>
      </w:r>
      <w:r>
        <w:rPr>
          <w:rFonts w:hint="eastAsia" w:asciiTheme="minorEastAsia" w:hAnsiTheme="minorEastAsia" w:eastAsiaTheme="minorEastAsia"/>
          <w:color w:val="auto"/>
          <w:sz w:val="32"/>
          <w:szCs w:val="32"/>
        </w:rPr>
        <w:t>万元，决算数大于年初预算数的主要原因是：</w:t>
      </w:r>
      <w:r>
        <w:rPr>
          <w:rFonts w:hint="eastAsia" w:asciiTheme="minorEastAsia" w:hAnsiTheme="minorEastAsia" w:eastAsiaTheme="minorEastAsia"/>
          <w:color w:val="auto"/>
          <w:sz w:val="32"/>
          <w:szCs w:val="32"/>
          <w:lang w:eastAsia="zh-CN"/>
        </w:rPr>
        <w:t>南湖新区年中工作经费拨款专项拨款和其他收入全用的是该专项</w:t>
      </w:r>
      <w:r>
        <w:rPr>
          <w:rFonts w:hint="eastAsia" w:asciiTheme="minorEastAsia" w:hAnsiTheme="minorEastAsia" w:eastAsiaTheme="minorEastAsia"/>
          <w:color w:val="auto"/>
          <w:sz w:val="32"/>
          <w:szCs w:val="32"/>
          <w:lang w:val="en-US" w:eastAsia="zh-CN"/>
        </w:rPr>
        <w:t>，导致决算数大于年初预算数。</w:t>
      </w:r>
    </w:p>
    <w:p>
      <w:pPr>
        <w:pStyle w:val="12"/>
        <w:numPr>
          <w:ilvl w:val="0"/>
          <w:numId w:val="1"/>
        </w:numPr>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社会保障和就业支出（类）行政事业单位养老支出（款）机关事业单位基本养老保险缴费支出（项）</w:t>
      </w:r>
      <w:r>
        <w:rPr>
          <w:rFonts w:hint="eastAsia" w:asciiTheme="minorEastAsia" w:hAnsiTheme="minorEastAsia" w:eastAsiaTheme="minorEastAsia"/>
          <w:sz w:val="32"/>
          <w:szCs w:val="32"/>
          <w:lang w:eastAsia="zh-CN"/>
        </w:rPr>
        <w:t>。</w:t>
      </w:r>
    </w:p>
    <w:p>
      <w:pPr>
        <w:pStyle w:val="12"/>
        <w:ind w:firstLine="800" w:firstLineChars="25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（2080505）机关事业单位基本养老保险缴费支出</w:t>
      </w: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54.24</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52.78</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97.31</w:t>
      </w:r>
      <w:r>
        <w:rPr>
          <w:rFonts w:hint="eastAsia" w:asciiTheme="minorEastAsia" w:hAnsiTheme="minorEastAsia" w:eastAsiaTheme="minorEastAsia"/>
          <w:sz w:val="32"/>
          <w:szCs w:val="32"/>
        </w:rPr>
        <w:t>%，决算数小于年初预算数的主要原因是</w:t>
      </w:r>
      <w:r>
        <w:rPr>
          <w:rFonts w:hint="eastAsia" w:asciiTheme="minorEastAsia" w:hAnsiTheme="minorEastAsia" w:eastAsiaTheme="minorEastAsia"/>
          <w:sz w:val="32"/>
          <w:szCs w:val="32"/>
          <w:lang w:val="en-US" w:eastAsia="zh-CN"/>
        </w:rPr>
        <w:t>2021年度中途有调出和退休人员，导致决算数小于年初预算数。</w:t>
      </w:r>
    </w:p>
    <w:p>
      <w:pPr>
        <w:pStyle w:val="12"/>
        <w:ind w:firstLine="800" w:firstLineChars="25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7、</w:t>
      </w:r>
      <w:r>
        <w:rPr>
          <w:rFonts w:hint="eastAsia" w:asciiTheme="minorEastAsia" w:hAnsiTheme="minorEastAsia" w:eastAsiaTheme="minorEastAsia"/>
          <w:sz w:val="32"/>
          <w:szCs w:val="32"/>
        </w:rPr>
        <w:t>社会保障和就业支出（类）残疾人事业（款）其他残疾人事业支出（项）</w:t>
      </w:r>
      <w:r>
        <w:rPr>
          <w:rFonts w:hint="eastAsia" w:asciiTheme="minorEastAsia" w:hAnsiTheme="minorEastAsia" w:eastAsiaTheme="minorEastAsia"/>
          <w:sz w:val="32"/>
          <w:szCs w:val="32"/>
          <w:lang w:eastAsia="zh-CN"/>
        </w:rPr>
        <w:t>。</w:t>
      </w:r>
    </w:p>
    <w:p>
      <w:pPr>
        <w:pStyle w:val="12"/>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（2081199）其他残疾人事业支出</w:t>
      </w: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5.25</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5.25</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p>
    <w:p>
      <w:pPr>
        <w:pStyle w:val="12"/>
        <w:ind w:firstLine="800" w:firstLineChars="25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8、</w:t>
      </w:r>
      <w:r>
        <w:rPr>
          <w:rFonts w:hint="eastAsia" w:asciiTheme="minorEastAsia" w:hAnsiTheme="minorEastAsia" w:eastAsiaTheme="minorEastAsia"/>
          <w:sz w:val="32"/>
          <w:szCs w:val="32"/>
        </w:rPr>
        <w:t>卫生健康支出（类）卫生健康支出（款）行政单位医疗（项）</w:t>
      </w:r>
      <w:r>
        <w:rPr>
          <w:rFonts w:hint="eastAsia" w:asciiTheme="minorEastAsia" w:hAnsiTheme="minorEastAsia" w:eastAsiaTheme="minorEastAsia"/>
          <w:sz w:val="32"/>
          <w:szCs w:val="32"/>
          <w:lang w:eastAsia="zh-CN"/>
        </w:rPr>
        <w:t>。</w:t>
      </w:r>
    </w:p>
    <w:p>
      <w:pPr>
        <w:pStyle w:val="12"/>
        <w:ind w:firstLine="800" w:firstLineChars="25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（2101101）</w:t>
      </w:r>
      <w:r>
        <w:rPr>
          <w:rFonts w:hint="eastAsia" w:asciiTheme="minorEastAsia" w:hAnsiTheme="minorEastAsia" w:eastAsiaTheme="minorEastAsia"/>
          <w:sz w:val="32"/>
          <w:szCs w:val="32"/>
        </w:rPr>
        <w:t>行政单位医疗年初预算为</w:t>
      </w:r>
      <w:r>
        <w:rPr>
          <w:rFonts w:hint="eastAsia" w:asciiTheme="minorEastAsia" w:hAnsiTheme="minorEastAsia" w:eastAsiaTheme="minorEastAsia"/>
          <w:sz w:val="32"/>
          <w:szCs w:val="32"/>
          <w:lang w:val="en-US" w:eastAsia="zh-CN"/>
        </w:rPr>
        <w:t>23.73</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23.89</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100.67</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color w:val="auto"/>
          <w:sz w:val="32"/>
          <w:szCs w:val="32"/>
        </w:rPr>
        <w:t>决算数大于年初预算数的主要原因是：</w:t>
      </w:r>
      <w:r>
        <w:rPr>
          <w:rFonts w:hint="eastAsia" w:asciiTheme="minorEastAsia" w:hAnsiTheme="minorEastAsia" w:eastAsiaTheme="minorEastAsia"/>
          <w:color w:val="auto"/>
          <w:sz w:val="32"/>
          <w:szCs w:val="32"/>
          <w:lang w:val="en-US" w:eastAsia="zh-CN"/>
        </w:rPr>
        <w:t>2021年度体检费的增加。</w:t>
      </w:r>
    </w:p>
    <w:p>
      <w:pPr>
        <w:pStyle w:val="12"/>
        <w:ind w:firstLine="640" w:firstLineChars="200"/>
        <w:rPr>
          <w:rFonts w:hAnsi="黑体"/>
          <w:b/>
          <w:sz w:val="32"/>
          <w:szCs w:val="32"/>
        </w:rPr>
      </w:pPr>
      <w:r>
        <w:rPr>
          <w:rFonts w:hint="eastAsia" w:hAnsi="黑体"/>
          <w:b/>
          <w:sz w:val="32"/>
          <w:szCs w:val="32"/>
        </w:rPr>
        <w:t>六、一般公共预算财政拨款基本支出决算情况说明</w:t>
      </w:r>
    </w:p>
    <w:p>
      <w:pPr>
        <w:pStyle w:val="12"/>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2021年度财政拨款基本支出</w:t>
      </w:r>
      <w:r>
        <w:rPr>
          <w:rFonts w:hint="eastAsia" w:asciiTheme="minorEastAsia" w:hAnsiTheme="minorEastAsia" w:eastAsiaTheme="minorEastAsia"/>
          <w:sz w:val="32"/>
          <w:szCs w:val="32"/>
          <w:lang w:val="en-US" w:eastAsia="zh-CN"/>
        </w:rPr>
        <w:t>640.23</w:t>
      </w:r>
      <w:r>
        <w:rPr>
          <w:rFonts w:hint="eastAsia" w:asciiTheme="minorEastAsia" w:hAnsiTheme="minorEastAsia" w:eastAsiaTheme="minorEastAsia"/>
          <w:sz w:val="32"/>
          <w:szCs w:val="32"/>
        </w:rPr>
        <w:t>万元，其中：人员经费</w:t>
      </w:r>
      <w:r>
        <w:rPr>
          <w:rFonts w:hint="eastAsia" w:asciiTheme="minorEastAsia" w:hAnsiTheme="minorEastAsia" w:eastAsiaTheme="minorEastAsia"/>
          <w:sz w:val="32"/>
          <w:szCs w:val="32"/>
          <w:lang w:val="en-US" w:eastAsia="zh-CN"/>
        </w:rPr>
        <w:t>535.77</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83.68</w:t>
      </w:r>
      <w:r>
        <w:rPr>
          <w:rFonts w:hint="eastAsia" w:asciiTheme="minorEastAsia" w:hAnsiTheme="minorEastAsia" w:eastAsiaTheme="minorEastAsia"/>
          <w:sz w:val="32"/>
          <w:szCs w:val="32"/>
        </w:rPr>
        <w:t>%,主要包括主要包括基本工资、津贴补贴、</w:t>
      </w:r>
      <w:r>
        <w:rPr>
          <w:rFonts w:hint="eastAsia" w:asciiTheme="minorEastAsia" w:hAnsiTheme="minorEastAsia" w:eastAsiaTheme="minorEastAsia"/>
          <w:sz w:val="32"/>
          <w:szCs w:val="32"/>
          <w:lang w:val="zh-CN"/>
        </w:rPr>
        <w:t>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r>
        <w:rPr>
          <w:rFonts w:hint="eastAsia" w:asciiTheme="minorEastAsia" w:hAnsiTheme="minorEastAsia" w:eastAsiaTheme="minorEastAsia"/>
          <w:sz w:val="32"/>
          <w:szCs w:val="32"/>
        </w:rPr>
        <w:t>；公用经费</w:t>
      </w:r>
      <w:r>
        <w:rPr>
          <w:rFonts w:hint="eastAsia" w:asciiTheme="minorEastAsia" w:hAnsiTheme="minorEastAsia" w:eastAsiaTheme="minorEastAsia"/>
          <w:sz w:val="32"/>
          <w:szCs w:val="32"/>
          <w:lang w:val="en-US" w:eastAsia="zh-CN"/>
        </w:rPr>
        <w:t>104.46</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16.32</w:t>
      </w:r>
      <w:r>
        <w:rPr>
          <w:rFonts w:hint="eastAsia" w:asciiTheme="minorEastAsia" w:hAnsiTheme="minorEastAsia" w:eastAsiaTheme="minorEastAsia"/>
          <w:sz w:val="32"/>
          <w:szCs w:val="32"/>
        </w:rPr>
        <w:t>%，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w:t>
      </w:r>
    </w:p>
    <w:p>
      <w:pPr>
        <w:pStyle w:val="12"/>
        <w:ind w:firstLine="640" w:firstLineChars="200"/>
        <w:rPr>
          <w:rFonts w:hAnsi="黑体"/>
          <w:b/>
          <w:sz w:val="32"/>
          <w:szCs w:val="32"/>
        </w:rPr>
      </w:pPr>
      <w:r>
        <w:rPr>
          <w:rFonts w:hint="eastAsia" w:hAnsi="黑体"/>
          <w:b/>
          <w:sz w:val="32"/>
          <w:szCs w:val="32"/>
        </w:rPr>
        <w:t>七、一般公共预算财政拨款“三公”经费支出决算情况说明</w:t>
      </w:r>
    </w:p>
    <w:p>
      <w:pPr>
        <w:pStyle w:val="12"/>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2"/>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w:t>
      </w:r>
      <w:r>
        <w:rPr>
          <w:rFonts w:hint="eastAsia" w:asciiTheme="minorEastAsia" w:hAnsiTheme="minorEastAsia" w:eastAsiaTheme="minorEastAsia"/>
          <w:sz w:val="32"/>
          <w:szCs w:val="32"/>
          <w:lang w:val="en-US" w:eastAsia="zh-CN"/>
        </w:rPr>
        <w:t>17</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10.71</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63</w:t>
      </w:r>
      <w:r>
        <w:rPr>
          <w:rFonts w:hint="eastAsia" w:asciiTheme="minorEastAsia" w:hAnsiTheme="minorEastAsia" w:eastAsiaTheme="minorEastAsia"/>
          <w:sz w:val="32"/>
          <w:szCs w:val="32"/>
        </w:rPr>
        <w:t>%，其中：</w:t>
      </w:r>
    </w:p>
    <w:p>
      <w:pPr>
        <w:pStyle w:val="12"/>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color w:val="auto"/>
          <w:sz w:val="32"/>
          <w:szCs w:val="32"/>
        </w:rPr>
        <w:t>因公出国（境）费支出预算为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w:t>
      </w:r>
      <w:r>
        <w:rPr>
          <w:rFonts w:hint="eastAsia" w:asciiTheme="minorEastAsia" w:hAnsiTheme="minorEastAsia" w:eastAsiaTheme="minorEastAsia"/>
          <w:color w:val="auto"/>
          <w:sz w:val="32"/>
          <w:szCs w:val="32"/>
          <w:lang w:eastAsia="zh-CN"/>
        </w:rPr>
        <w:t>，由于年初预算数为</w:t>
      </w:r>
      <w:r>
        <w:rPr>
          <w:rFonts w:hint="eastAsia" w:asciiTheme="minorEastAsia" w:hAnsiTheme="minorEastAsia" w:eastAsiaTheme="minorEastAsia"/>
          <w:color w:val="auto"/>
          <w:sz w:val="32"/>
          <w:szCs w:val="32"/>
          <w:lang w:val="en-US" w:eastAsia="zh-CN"/>
        </w:rPr>
        <w:t>0，无法计算百分比</w:t>
      </w:r>
      <w:r>
        <w:rPr>
          <w:rFonts w:hint="eastAsia" w:asciiTheme="minorEastAsia" w:hAnsiTheme="minorEastAsia" w:eastAsiaTheme="minorEastAsia"/>
          <w:color w:val="auto"/>
          <w:sz w:val="32"/>
          <w:szCs w:val="32"/>
        </w:rPr>
        <w:t>。</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8</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2.13</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26.63</w:t>
      </w:r>
      <w:r>
        <w:rPr>
          <w:rFonts w:hint="eastAsia" w:asciiTheme="minorEastAsia" w:hAnsiTheme="minorEastAsia" w:eastAsiaTheme="minorEastAsia"/>
          <w:sz w:val="32"/>
          <w:szCs w:val="32"/>
        </w:rPr>
        <w:t>%，决算数小于预算数的主要原因是</w:t>
      </w:r>
      <w:r>
        <w:rPr>
          <w:rFonts w:hint="eastAsia" w:asciiTheme="minorEastAsia" w:hAnsiTheme="minorEastAsia" w:eastAsiaTheme="minorEastAsia"/>
          <w:color w:val="auto"/>
          <w:sz w:val="32"/>
          <w:szCs w:val="32"/>
          <w:lang w:eastAsia="zh-CN"/>
        </w:rPr>
        <w:t>八项规定以来，严格控制业务接待量，因此公务接待费用大幅缩减。</w:t>
      </w:r>
      <w:r>
        <w:rPr>
          <w:rFonts w:hint="eastAsia" w:asciiTheme="minorEastAsia" w:hAnsiTheme="minorEastAsia" w:eastAsiaTheme="minorEastAsia"/>
          <w:sz w:val="32"/>
          <w:szCs w:val="32"/>
        </w:rPr>
        <w:t>与上年相比减少</w:t>
      </w:r>
      <w:r>
        <w:rPr>
          <w:rFonts w:hint="eastAsia" w:asciiTheme="minorEastAsia" w:hAnsiTheme="minorEastAsia" w:eastAsiaTheme="minorEastAsia"/>
          <w:sz w:val="32"/>
          <w:szCs w:val="32"/>
          <w:lang w:val="en-US" w:eastAsia="zh-CN"/>
        </w:rPr>
        <w:t>0.92</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30.16</w:t>
      </w:r>
      <w:r>
        <w:rPr>
          <w:rFonts w:hint="eastAsia" w:asciiTheme="minorEastAsia" w:hAnsiTheme="minorEastAsia" w:eastAsiaTheme="minorEastAsia"/>
          <w:sz w:val="32"/>
          <w:szCs w:val="32"/>
        </w:rPr>
        <w:t>%,减少的主要原因是</w:t>
      </w:r>
      <w:r>
        <w:rPr>
          <w:rFonts w:hint="eastAsia" w:asciiTheme="minorEastAsia" w:hAnsiTheme="minorEastAsia" w:eastAsiaTheme="minorEastAsia"/>
          <w:sz w:val="32"/>
          <w:szCs w:val="32"/>
          <w:lang w:eastAsia="zh-CN"/>
        </w:rPr>
        <w:t>厉行节约，反对违规吃喝</w:t>
      </w:r>
      <w:r>
        <w:rPr>
          <w:rFonts w:hint="eastAsia" w:asciiTheme="minorEastAsia" w:hAnsiTheme="minorEastAsia" w:eastAsiaTheme="minorEastAsia"/>
          <w:sz w:val="32"/>
          <w:szCs w:val="32"/>
        </w:rPr>
        <w:t>。</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color w:val="auto"/>
          <w:sz w:val="32"/>
          <w:szCs w:val="32"/>
        </w:rPr>
        <w:t>公务用车购置费及运行维护费支出</w:t>
      </w:r>
      <w:r>
        <w:rPr>
          <w:rFonts w:hint="eastAsia" w:asciiTheme="minorEastAsia" w:hAnsiTheme="minorEastAsia" w:eastAsiaTheme="minorEastAsia"/>
          <w:sz w:val="32"/>
          <w:szCs w:val="32"/>
        </w:rPr>
        <w:t>预算为</w:t>
      </w:r>
      <w:r>
        <w:rPr>
          <w:rFonts w:hint="eastAsia" w:asciiTheme="minorEastAsia" w:hAnsiTheme="minorEastAsia" w:eastAsiaTheme="minorEastAsia"/>
          <w:sz w:val="32"/>
          <w:szCs w:val="32"/>
          <w:lang w:val="en-US" w:eastAsia="zh-CN"/>
        </w:rPr>
        <w:t>9</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8.58</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95.33</w:t>
      </w:r>
      <w:r>
        <w:rPr>
          <w:rFonts w:hint="eastAsia" w:asciiTheme="minorEastAsia" w:hAnsiTheme="minorEastAsia" w:eastAsiaTheme="minorEastAsia"/>
          <w:sz w:val="32"/>
          <w:szCs w:val="32"/>
        </w:rPr>
        <w:t>%，决算数小于预算数的主要原因是</w:t>
      </w:r>
      <w:r>
        <w:rPr>
          <w:rFonts w:hint="eastAsia" w:asciiTheme="minorEastAsia" w:hAnsiTheme="minorEastAsia" w:eastAsiaTheme="minorEastAsia"/>
          <w:color w:val="auto"/>
          <w:sz w:val="32"/>
          <w:szCs w:val="32"/>
          <w:lang w:eastAsia="zh-CN"/>
        </w:rPr>
        <w:t>严格控制不必要的公务用车开支，提倡绿色出行</w:t>
      </w:r>
      <w:r>
        <w:rPr>
          <w:rFonts w:hint="eastAsia" w:asciiTheme="minorEastAsia" w:hAnsiTheme="minorEastAsia" w:eastAsiaTheme="minorEastAsia"/>
          <w:sz w:val="32"/>
          <w:szCs w:val="32"/>
        </w:rPr>
        <w:t>，与上年相比减少</w:t>
      </w:r>
      <w:r>
        <w:rPr>
          <w:rFonts w:hint="eastAsia" w:asciiTheme="minorEastAsia" w:hAnsiTheme="minorEastAsia" w:eastAsiaTheme="minorEastAsia"/>
          <w:sz w:val="32"/>
          <w:szCs w:val="32"/>
          <w:lang w:val="en-US" w:eastAsia="zh-CN"/>
        </w:rPr>
        <w:t>0.23</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2.61</w:t>
      </w:r>
      <w:r>
        <w:rPr>
          <w:rFonts w:hint="eastAsia" w:asciiTheme="minorEastAsia" w:hAnsiTheme="minorEastAsia" w:eastAsiaTheme="minorEastAsia"/>
          <w:sz w:val="32"/>
          <w:szCs w:val="32"/>
        </w:rPr>
        <w:t>%,减少的主要原因是厉行节约，压缩公务用车开支。</w:t>
      </w:r>
    </w:p>
    <w:p>
      <w:pPr>
        <w:pStyle w:val="12"/>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w:t>
      </w:r>
      <w:r>
        <w:rPr>
          <w:rFonts w:hint="eastAsia" w:asciiTheme="minorEastAsia" w:hAnsiTheme="minorEastAsia" w:eastAsiaTheme="minorEastAsia"/>
          <w:sz w:val="32"/>
          <w:szCs w:val="32"/>
          <w:lang w:val="en-US" w:eastAsia="zh-CN"/>
        </w:rPr>
        <w:t>2.13</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19.89</w:t>
      </w:r>
      <w:r>
        <w:rPr>
          <w:rFonts w:hint="eastAsia" w:asciiTheme="minorEastAsia" w:hAnsiTheme="minorEastAsia" w:eastAsiaTheme="minorEastAsia"/>
          <w:sz w:val="32"/>
          <w:szCs w:val="32"/>
        </w:rPr>
        <w:t>%,公务用车运行维护费支出决算</w:t>
      </w:r>
      <w:r>
        <w:rPr>
          <w:rFonts w:hint="eastAsia" w:asciiTheme="minorEastAsia" w:hAnsiTheme="minorEastAsia" w:eastAsiaTheme="minorEastAsia"/>
          <w:sz w:val="32"/>
          <w:szCs w:val="32"/>
          <w:lang w:val="en-US" w:eastAsia="zh-CN"/>
        </w:rPr>
        <w:t>8.58</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80.11</w:t>
      </w:r>
      <w:r>
        <w:rPr>
          <w:rFonts w:hint="eastAsia" w:asciiTheme="minorEastAsia" w:hAnsiTheme="minorEastAsia" w:eastAsiaTheme="minorEastAsia"/>
          <w:sz w:val="32"/>
          <w:szCs w:val="32"/>
        </w:rPr>
        <w:t>%。其中：</w:t>
      </w:r>
    </w:p>
    <w:p>
      <w:pPr>
        <w:pStyle w:val="12"/>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1、因公出国（境）费支出决算为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元</w:t>
      </w:r>
      <w:r>
        <w:rPr>
          <w:rFonts w:hint="eastAsia" w:asciiTheme="minorEastAsia" w:hAnsiTheme="minorEastAsia" w:eastAsiaTheme="minorEastAsia"/>
          <w:sz w:val="32"/>
          <w:szCs w:val="32"/>
          <w:lang w:eastAsia="zh-CN"/>
        </w:rPr>
        <w:t>。</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w:t>
      </w:r>
      <w:r>
        <w:rPr>
          <w:rFonts w:hint="eastAsia" w:asciiTheme="minorEastAsia" w:hAnsiTheme="minorEastAsia" w:eastAsiaTheme="minorEastAsia"/>
          <w:sz w:val="32"/>
          <w:szCs w:val="32"/>
          <w:lang w:val="en-US" w:eastAsia="zh-CN"/>
        </w:rPr>
        <w:t>2.13</w:t>
      </w:r>
      <w:r>
        <w:rPr>
          <w:rFonts w:hint="eastAsia" w:asciiTheme="minorEastAsia" w:hAnsiTheme="minorEastAsia" w:eastAsiaTheme="minorEastAsia"/>
          <w:sz w:val="32"/>
          <w:szCs w:val="32"/>
        </w:rPr>
        <w:t>万元，全年共接待来访团组</w:t>
      </w:r>
      <w:r>
        <w:rPr>
          <w:rFonts w:hint="eastAsia" w:asciiTheme="minorEastAsia" w:hAnsiTheme="minorEastAsia" w:eastAsiaTheme="minorEastAsia"/>
          <w:sz w:val="32"/>
          <w:szCs w:val="32"/>
          <w:lang w:val="en-US" w:eastAsia="zh-CN"/>
        </w:rPr>
        <w:t>30</w:t>
      </w:r>
      <w:r>
        <w:rPr>
          <w:rFonts w:hint="eastAsia" w:asciiTheme="minorEastAsia" w:hAnsiTheme="minorEastAsia" w:eastAsiaTheme="minorEastAsia"/>
          <w:sz w:val="32"/>
          <w:szCs w:val="32"/>
        </w:rPr>
        <w:t>个、来宾</w:t>
      </w:r>
      <w:r>
        <w:rPr>
          <w:rFonts w:hint="eastAsia" w:asciiTheme="minorEastAsia" w:hAnsiTheme="minorEastAsia" w:eastAsiaTheme="minorEastAsia"/>
          <w:sz w:val="32"/>
          <w:szCs w:val="32"/>
          <w:lang w:val="en-US" w:eastAsia="zh-CN"/>
        </w:rPr>
        <w:t>130</w:t>
      </w:r>
      <w:r>
        <w:rPr>
          <w:rFonts w:hint="eastAsia" w:asciiTheme="minorEastAsia" w:hAnsiTheme="minorEastAsia" w:eastAsiaTheme="minorEastAsia"/>
          <w:sz w:val="32"/>
          <w:szCs w:val="32"/>
        </w:rPr>
        <w:t>人次，</w:t>
      </w:r>
      <w:r>
        <w:rPr>
          <w:rFonts w:hint="eastAsia" w:asciiTheme="minorEastAsia" w:hAnsiTheme="minorEastAsia" w:eastAsiaTheme="minorEastAsia"/>
          <w:color w:val="auto"/>
          <w:sz w:val="32"/>
          <w:szCs w:val="32"/>
        </w:rPr>
        <w:t>主要是</w:t>
      </w:r>
      <w:r>
        <w:rPr>
          <w:rFonts w:hint="eastAsia" w:asciiTheme="minorEastAsia" w:hAnsiTheme="minorEastAsia" w:eastAsiaTheme="minorEastAsia"/>
          <w:color w:val="auto"/>
          <w:sz w:val="32"/>
          <w:szCs w:val="32"/>
          <w:lang w:eastAsia="zh-CN"/>
        </w:rPr>
        <w:t>各级市场监管局之间的业务交流学习以及上级单位检查</w:t>
      </w:r>
      <w:r>
        <w:rPr>
          <w:rFonts w:hint="eastAsia" w:asciiTheme="minorEastAsia" w:hAnsiTheme="minorEastAsia" w:eastAsiaTheme="minorEastAsia"/>
          <w:color w:val="auto"/>
          <w:sz w:val="32"/>
          <w:szCs w:val="32"/>
        </w:rPr>
        <w:t>发生的接待支出</w:t>
      </w:r>
      <w:r>
        <w:rPr>
          <w:rFonts w:hint="eastAsia" w:asciiTheme="minorEastAsia" w:hAnsiTheme="minorEastAsia" w:eastAsiaTheme="minorEastAsia"/>
          <w:sz w:val="32"/>
          <w:szCs w:val="32"/>
        </w:rPr>
        <w:t>。</w:t>
      </w:r>
    </w:p>
    <w:p>
      <w:pPr>
        <w:ind w:firstLine="640" w:firstLineChars="200"/>
        <w:rPr>
          <w:rFonts w:hint="eastAsia" w:asciiTheme="minorEastAsia" w:hAnsiTheme="minorEastAsia"/>
          <w:sz w:val="32"/>
          <w:szCs w:val="32"/>
        </w:rPr>
      </w:pPr>
      <w:r>
        <w:rPr>
          <w:rFonts w:hint="eastAsia" w:asciiTheme="minorEastAsia" w:hAnsiTheme="minorEastAsia"/>
          <w:sz w:val="32"/>
          <w:szCs w:val="32"/>
        </w:rPr>
        <w:t>3、公务用车购置费及运行维护费支出决算为</w:t>
      </w:r>
      <w:r>
        <w:rPr>
          <w:rFonts w:hint="eastAsia" w:asciiTheme="minorEastAsia" w:hAnsiTheme="minorEastAsia"/>
          <w:sz w:val="32"/>
          <w:szCs w:val="32"/>
          <w:lang w:val="en-US" w:eastAsia="zh-CN"/>
        </w:rPr>
        <w:t>8.58</w:t>
      </w:r>
      <w:r>
        <w:rPr>
          <w:rFonts w:hint="eastAsia" w:asciiTheme="minorEastAsia" w:hAnsiTheme="minorEastAsia"/>
          <w:sz w:val="32"/>
          <w:szCs w:val="32"/>
        </w:rPr>
        <w:t>万元，其中：公务用车购置费</w:t>
      </w:r>
      <w:r>
        <w:rPr>
          <w:rFonts w:hint="eastAsia" w:asciiTheme="minorEastAsia" w:hAnsiTheme="minorEastAsia"/>
          <w:sz w:val="32"/>
          <w:szCs w:val="32"/>
          <w:lang w:val="en-US" w:eastAsia="zh-CN"/>
        </w:rPr>
        <w:t>0</w:t>
      </w:r>
      <w:r>
        <w:rPr>
          <w:rFonts w:hint="eastAsia" w:asciiTheme="minorEastAsia" w:hAnsiTheme="minorEastAsia"/>
          <w:sz w:val="32"/>
          <w:szCs w:val="32"/>
        </w:rPr>
        <w:t>万元</w:t>
      </w:r>
      <w:r>
        <w:rPr>
          <w:rFonts w:hint="eastAsia" w:asciiTheme="minorEastAsia" w:hAnsiTheme="minorEastAsia"/>
          <w:color w:val="000000" w:themeColor="text1"/>
          <w:sz w:val="32"/>
          <w:szCs w:val="32"/>
          <w14:textFill>
            <w14:solidFill>
              <w14:schemeClr w14:val="tx1"/>
            </w14:solidFill>
          </w14:textFill>
        </w:rPr>
        <w:t>。</w:t>
      </w:r>
      <w:r>
        <w:rPr>
          <w:rFonts w:hint="eastAsia" w:asciiTheme="minorEastAsia" w:hAnsiTheme="minorEastAsia"/>
          <w:sz w:val="32"/>
          <w:szCs w:val="32"/>
        </w:rPr>
        <w:t>公务用车运行维护费</w:t>
      </w:r>
      <w:r>
        <w:rPr>
          <w:rFonts w:hint="eastAsia" w:asciiTheme="minorEastAsia" w:hAnsiTheme="minorEastAsia"/>
          <w:sz w:val="32"/>
          <w:szCs w:val="32"/>
          <w:lang w:val="en-US" w:eastAsia="zh-CN"/>
        </w:rPr>
        <w:t>8.58</w:t>
      </w:r>
      <w:r>
        <w:rPr>
          <w:rFonts w:hint="eastAsia" w:asciiTheme="minorEastAsia" w:hAnsiTheme="minorEastAsia"/>
          <w:sz w:val="32"/>
          <w:szCs w:val="32"/>
        </w:rPr>
        <w:t>万元，</w:t>
      </w:r>
      <w:r>
        <w:rPr>
          <w:rFonts w:hint="eastAsia" w:asciiTheme="minorEastAsia" w:hAnsiTheme="minorEastAsia"/>
          <w:color w:val="auto"/>
          <w:sz w:val="32"/>
          <w:szCs w:val="32"/>
        </w:rPr>
        <w:t>主要是</w:t>
      </w:r>
      <w:r>
        <w:rPr>
          <w:rFonts w:hint="eastAsia" w:asciiTheme="minorEastAsia" w:hAnsiTheme="minorEastAsia"/>
          <w:color w:val="auto"/>
          <w:sz w:val="32"/>
          <w:szCs w:val="32"/>
          <w:lang w:eastAsia="zh-CN"/>
        </w:rPr>
        <w:t>油料费、维修费、保险年检费等</w:t>
      </w:r>
      <w:r>
        <w:rPr>
          <w:rFonts w:hint="eastAsia" w:asciiTheme="minorEastAsia" w:hAnsiTheme="minorEastAsia"/>
          <w:color w:val="auto"/>
          <w:sz w:val="32"/>
          <w:szCs w:val="32"/>
        </w:rPr>
        <w:t>支出，截止202</w:t>
      </w:r>
      <w:r>
        <w:rPr>
          <w:rFonts w:hint="eastAsia" w:asciiTheme="minorEastAsia" w:hAnsiTheme="minorEastAsia"/>
          <w:color w:val="auto"/>
          <w:sz w:val="32"/>
          <w:szCs w:val="32"/>
          <w:lang w:val="en-US" w:eastAsia="zh-CN"/>
        </w:rPr>
        <w:t>1</w:t>
      </w:r>
      <w:r>
        <w:rPr>
          <w:rFonts w:hint="eastAsia" w:asciiTheme="minorEastAsia" w:hAnsiTheme="minorEastAsia"/>
          <w:color w:val="auto"/>
          <w:sz w:val="32"/>
          <w:szCs w:val="32"/>
        </w:rPr>
        <w:t>年12月31日，我单位开支财政拨款的公务用车保有量为</w:t>
      </w:r>
      <w:r>
        <w:rPr>
          <w:rFonts w:hint="eastAsia" w:asciiTheme="minorEastAsia" w:hAnsiTheme="minorEastAsia"/>
          <w:color w:val="auto"/>
          <w:sz w:val="32"/>
          <w:szCs w:val="32"/>
          <w:lang w:val="en-US" w:eastAsia="zh-CN"/>
        </w:rPr>
        <w:t>2</w:t>
      </w:r>
      <w:r>
        <w:rPr>
          <w:rFonts w:hint="eastAsia" w:asciiTheme="minorEastAsia" w:hAnsiTheme="minorEastAsia"/>
          <w:color w:val="auto"/>
          <w:sz w:val="32"/>
          <w:szCs w:val="32"/>
        </w:rPr>
        <w:t>辆。</w:t>
      </w:r>
    </w:p>
    <w:p>
      <w:pPr>
        <w:pStyle w:val="12"/>
        <w:ind w:firstLine="640" w:firstLineChars="200"/>
        <w:rPr>
          <w:rFonts w:hAnsi="黑体"/>
          <w:b/>
          <w:sz w:val="32"/>
          <w:szCs w:val="32"/>
        </w:rPr>
      </w:pPr>
      <w:r>
        <w:rPr>
          <w:rFonts w:hint="eastAsia" w:hAnsi="黑体"/>
          <w:b/>
          <w:sz w:val="32"/>
          <w:szCs w:val="32"/>
        </w:rPr>
        <w:t>八、政府性基金预算收入支出决算情况</w:t>
      </w:r>
    </w:p>
    <w:p>
      <w:pPr>
        <w:pStyle w:val="12"/>
        <w:ind w:firstLine="640" w:firstLineChars="200"/>
        <w:rPr>
          <w:rFonts w:hint="eastAsia" w:asciiTheme="minorEastAsia" w:hAnsiTheme="minorEastAsia" w:eastAsiaTheme="minorEastAsia"/>
          <w:color w:val="auto"/>
          <w:sz w:val="32"/>
          <w:szCs w:val="32"/>
          <w:lang w:eastAsia="zh-CN"/>
        </w:rPr>
      </w:pPr>
      <w:r>
        <w:rPr>
          <w:rFonts w:hint="eastAsia" w:asciiTheme="minorEastAsia" w:hAnsiTheme="minorEastAsia" w:eastAsiaTheme="minorEastAsia"/>
          <w:color w:val="auto"/>
          <w:sz w:val="32"/>
          <w:szCs w:val="32"/>
        </w:rPr>
        <w:t>202</w:t>
      </w:r>
      <w:r>
        <w:rPr>
          <w:rFonts w:hint="eastAsia" w:asciiTheme="minorEastAsia" w:hAnsiTheme="minorEastAsia" w:eastAsiaTheme="minorEastAsia"/>
          <w:color w:val="auto"/>
          <w:sz w:val="32"/>
          <w:szCs w:val="32"/>
          <w:lang w:val="en-US" w:eastAsia="zh-CN"/>
        </w:rPr>
        <w:t>1</w:t>
      </w:r>
      <w:r>
        <w:rPr>
          <w:rFonts w:hint="eastAsia" w:asciiTheme="minorEastAsia" w:hAnsiTheme="minorEastAsia" w:eastAsiaTheme="minorEastAsia"/>
          <w:color w:val="auto"/>
          <w:sz w:val="32"/>
          <w:szCs w:val="32"/>
        </w:rPr>
        <w:t>年度本单位无政府性基金收支</w:t>
      </w:r>
      <w:r>
        <w:rPr>
          <w:rFonts w:hint="eastAsia" w:asciiTheme="minorEastAsia" w:hAnsiTheme="minorEastAsia" w:eastAsiaTheme="minorEastAsia"/>
          <w:color w:val="auto"/>
          <w:sz w:val="32"/>
          <w:szCs w:val="32"/>
          <w:lang w:eastAsia="zh-CN"/>
        </w:rPr>
        <w:t>。</w:t>
      </w:r>
    </w:p>
    <w:p>
      <w:pPr>
        <w:pStyle w:val="12"/>
        <w:numPr>
          <w:ilvl w:val="0"/>
          <w:numId w:val="0"/>
        </w:numPr>
        <w:ind w:firstLine="640" w:firstLineChars="200"/>
        <w:rPr>
          <w:rFonts w:hint="eastAsia" w:hAnsi="黑体"/>
          <w:b/>
          <w:sz w:val="32"/>
          <w:szCs w:val="32"/>
          <w:lang w:eastAsia="zh-CN"/>
        </w:rPr>
      </w:pPr>
      <w:r>
        <w:rPr>
          <w:rFonts w:hint="eastAsia" w:hAnsi="黑体"/>
          <w:b/>
          <w:sz w:val="32"/>
          <w:szCs w:val="32"/>
          <w:lang w:eastAsia="zh-CN"/>
        </w:rPr>
        <w:t>九、</w:t>
      </w:r>
      <w:r>
        <w:rPr>
          <w:rFonts w:hint="eastAsia" w:hAnsi="黑体"/>
          <w:b/>
          <w:sz w:val="32"/>
          <w:szCs w:val="32"/>
        </w:rPr>
        <w:t>国有资本经营预算财政拨款支出决算</w:t>
      </w:r>
      <w:r>
        <w:rPr>
          <w:rFonts w:hint="eastAsia" w:hAnsi="黑体"/>
          <w:b/>
          <w:sz w:val="32"/>
          <w:szCs w:val="32"/>
          <w:lang w:eastAsia="zh-CN"/>
        </w:rPr>
        <w:t>情况</w:t>
      </w:r>
    </w:p>
    <w:p>
      <w:pPr>
        <w:pStyle w:val="12"/>
        <w:ind w:firstLine="640" w:firstLineChars="200"/>
        <w:rPr>
          <w:rFonts w:hint="default" w:hAnsi="黑体"/>
          <w:b/>
          <w:sz w:val="32"/>
          <w:szCs w:val="32"/>
          <w:lang w:val="en-US" w:eastAsia="zh-CN"/>
        </w:rPr>
      </w:pPr>
      <w:r>
        <w:rPr>
          <w:rFonts w:hint="eastAsia" w:asciiTheme="minorEastAsia" w:hAnsiTheme="minorEastAsia" w:eastAsiaTheme="minorEastAsia"/>
          <w:sz w:val="32"/>
          <w:szCs w:val="32"/>
        </w:rPr>
        <w:t>2021年度</w:t>
      </w:r>
      <w:r>
        <w:rPr>
          <w:rFonts w:hint="eastAsia" w:asciiTheme="minorEastAsia" w:hAnsiTheme="minorEastAsia" w:eastAsiaTheme="minorEastAsia"/>
          <w:color w:val="auto"/>
          <w:sz w:val="32"/>
          <w:szCs w:val="32"/>
          <w:lang w:eastAsia="zh-CN"/>
        </w:rPr>
        <w:t>本</w:t>
      </w:r>
      <w:r>
        <w:rPr>
          <w:rFonts w:hint="eastAsia" w:asciiTheme="minorEastAsia" w:hAnsiTheme="minorEastAsia" w:eastAsiaTheme="minorEastAsia"/>
          <w:color w:val="auto"/>
          <w:sz w:val="32"/>
          <w:szCs w:val="32"/>
        </w:rPr>
        <w:t>单位无国有资本经营预算财政拨款支出</w:t>
      </w:r>
      <w:r>
        <w:rPr>
          <w:rFonts w:asciiTheme="minorEastAsia" w:hAnsiTheme="minorEastAsia" w:eastAsiaTheme="minorEastAsia"/>
          <w:color w:val="auto"/>
          <w:sz w:val="32"/>
          <w:szCs w:val="32"/>
        </w:rPr>
        <w:t>。</w:t>
      </w:r>
    </w:p>
    <w:p>
      <w:pPr>
        <w:pStyle w:val="12"/>
        <w:ind w:firstLine="640" w:firstLineChars="200"/>
        <w:rPr>
          <w:rFonts w:hAnsi="黑体"/>
          <w:b/>
          <w:sz w:val="32"/>
          <w:szCs w:val="32"/>
        </w:rPr>
      </w:pPr>
      <w:r>
        <w:rPr>
          <w:rFonts w:hint="eastAsia" w:hAnsi="黑体"/>
          <w:b/>
          <w:sz w:val="32"/>
          <w:szCs w:val="32"/>
          <w:lang w:eastAsia="zh-CN"/>
        </w:rPr>
        <w:t>十、</w:t>
      </w:r>
      <w:r>
        <w:rPr>
          <w:rFonts w:hint="eastAsia" w:hAnsi="黑体"/>
          <w:b/>
          <w:sz w:val="32"/>
          <w:szCs w:val="32"/>
        </w:rPr>
        <w:t>机关运行经费支出说明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本部门2021年度机关运行经费支出</w:t>
      </w:r>
      <w:r>
        <w:rPr>
          <w:rFonts w:hint="eastAsia" w:asciiTheme="minorEastAsia" w:hAnsiTheme="minorEastAsia" w:eastAsiaTheme="minorEastAsia"/>
          <w:sz w:val="32"/>
          <w:szCs w:val="32"/>
          <w:lang w:val="en-US" w:eastAsia="zh-CN"/>
        </w:rPr>
        <w:t>104.46</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与</w:t>
      </w:r>
      <w:r>
        <w:rPr>
          <w:rFonts w:hint="eastAsia" w:asciiTheme="minorEastAsia" w:hAnsiTheme="minorEastAsia" w:eastAsiaTheme="minorEastAsia"/>
          <w:sz w:val="32"/>
          <w:szCs w:val="32"/>
        </w:rPr>
        <w:t>年初预算数</w:t>
      </w:r>
      <w:r>
        <w:rPr>
          <w:rFonts w:hint="eastAsia" w:asciiTheme="minorEastAsia" w:hAnsiTheme="minorEastAsia" w:eastAsiaTheme="minorEastAsia"/>
          <w:sz w:val="32"/>
          <w:szCs w:val="32"/>
          <w:lang w:val="en-US" w:eastAsia="zh-CN"/>
        </w:rPr>
        <w:t>104.46</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持平</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完成率</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%。主要原因是</w:t>
      </w:r>
      <w:r>
        <w:rPr>
          <w:rFonts w:hint="eastAsia" w:asciiTheme="minorEastAsia" w:hAnsiTheme="minorEastAsia" w:eastAsiaTheme="minorEastAsia"/>
          <w:sz w:val="32"/>
          <w:szCs w:val="32"/>
          <w:lang w:eastAsia="zh-CN"/>
        </w:rPr>
        <w:t>我局严格按照年初预算开支。</w:t>
      </w:r>
    </w:p>
    <w:p>
      <w:pPr>
        <w:pStyle w:val="12"/>
        <w:ind w:firstLine="640" w:firstLineChars="200"/>
        <w:rPr>
          <w:rFonts w:hAnsi="黑体"/>
          <w:b/>
          <w:sz w:val="32"/>
          <w:szCs w:val="32"/>
        </w:rPr>
      </w:pPr>
      <w:r>
        <w:rPr>
          <w:rFonts w:hint="eastAsia" w:hAnsi="黑体"/>
          <w:b/>
          <w:sz w:val="32"/>
          <w:szCs w:val="32"/>
        </w:rPr>
        <w:t>十一、一般性支出情况说明</w:t>
      </w:r>
    </w:p>
    <w:p>
      <w:pPr>
        <w:pStyle w:val="12"/>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2021年本部门开支会议费</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开支培训费</w:t>
      </w:r>
      <w:r>
        <w:rPr>
          <w:rFonts w:hint="eastAsia" w:asciiTheme="minorEastAsia" w:hAnsiTheme="minorEastAsia" w:eastAsiaTheme="minorEastAsia"/>
          <w:sz w:val="32"/>
          <w:szCs w:val="32"/>
          <w:lang w:val="en-US" w:eastAsia="zh-CN"/>
        </w:rPr>
        <w:t>1.87</w:t>
      </w:r>
      <w:r>
        <w:rPr>
          <w:rFonts w:hint="eastAsia" w:asciiTheme="minorEastAsia" w:hAnsiTheme="minorEastAsia" w:eastAsiaTheme="minorEastAsia"/>
          <w:sz w:val="32"/>
          <w:szCs w:val="32"/>
        </w:rPr>
        <w:t>万元</w:t>
      </w:r>
      <w:r>
        <w:rPr>
          <w:rFonts w:hint="eastAsia" w:asciiTheme="minorEastAsia" w:hAnsiTheme="minorEastAsia" w:eastAsiaTheme="minorEastAsia"/>
          <w:color w:val="auto"/>
          <w:sz w:val="32"/>
          <w:szCs w:val="32"/>
          <w:lang w:eastAsia="zh-CN"/>
        </w:rPr>
        <w:t>（其中公用经费</w:t>
      </w:r>
      <w:r>
        <w:rPr>
          <w:rFonts w:hint="eastAsia" w:asciiTheme="minorEastAsia" w:hAnsiTheme="minorEastAsia" w:eastAsiaTheme="minorEastAsia"/>
          <w:color w:val="auto"/>
          <w:sz w:val="32"/>
          <w:szCs w:val="32"/>
          <w:lang w:val="en-US" w:eastAsia="zh-CN"/>
        </w:rPr>
        <w:t>1.87万元</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sz w:val="32"/>
          <w:szCs w:val="32"/>
        </w:rPr>
        <w:t>，用于开展</w:t>
      </w:r>
      <w:r>
        <w:rPr>
          <w:rFonts w:hint="eastAsia" w:asciiTheme="minorEastAsia" w:hAnsiTheme="minorEastAsia" w:eastAsiaTheme="minorEastAsia"/>
          <w:color w:val="auto"/>
          <w:sz w:val="32"/>
          <w:szCs w:val="32"/>
          <w:lang w:eastAsia="zh-CN"/>
        </w:rPr>
        <w:t>市场监管各个专项业务</w:t>
      </w:r>
      <w:r>
        <w:rPr>
          <w:rFonts w:hint="eastAsia" w:asciiTheme="minorEastAsia" w:hAnsiTheme="minorEastAsia" w:eastAsiaTheme="minorEastAsia"/>
          <w:color w:val="auto"/>
          <w:sz w:val="32"/>
          <w:szCs w:val="32"/>
        </w:rPr>
        <w:t>培训</w:t>
      </w:r>
      <w:r>
        <w:rPr>
          <w:rFonts w:hint="eastAsia" w:asciiTheme="minorEastAsia" w:hAnsiTheme="minorEastAsia" w:eastAsiaTheme="minorEastAsia"/>
          <w:sz w:val="32"/>
          <w:szCs w:val="32"/>
        </w:rPr>
        <w:t>，</w:t>
      </w:r>
      <w:r>
        <w:rPr>
          <w:rFonts w:hint="eastAsia" w:asciiTheme="minorEastAsia" w:hAnsiTheme="minorEastAsia" w:eastAsiaTheme="minorEastAsia"/>
          <w:color w:val="auto"/>
          <w:sz w:val="32"/>
          <w:szCs w:val="32"/>
        </w:rPr>
        <w:t>人数</w:t>
      </w:r>
      <w:r>
        <w:rPr>
          <w:rFonts w:hint="eastAsia" w:asciiTheme="minorEastAsia" w:hAnsiTheme="minorEastAsia" w:eastAsiaTheme="minorEastAsia"/>
          <w:color w:val="auto"/>
          <w:sz w:val="32"/>
          <w:szCs w:val="32"/>
          <w:lang w:val="en-US" w:eastAsia="zh-CN"/>
        </w:rPr>
        <w:t>380</w:t>
      </w:r>
      <w:r>
        <w:rPr>
          <w:rFonts w:hint="eastAsia" w:asciiTheme="minorEastAsia" w:hAnsiTheme="minorEastAsia" w:eastAsiaTheme="minorEastAsia"/>
          <w:color w:val="auto"/>
          <w:sz w:val="32"/>
          <w:szCs w:val="32"/>
        </w:rPr>
        <w:t>人</w:t>
      </w:r>
      <w:r>
        <w:rPr>
          <w:rFonts w:hint="eastAsia" w:asciiTheme="minorEastAsia" w:hAnsiTheme="minorEastAsia" w:eastAsiaTheme="minorEastAsia"/>
          <w:color w:val="auto"/>
          <w:sz w:val="32"/>
          <w:szCs w:val="32"/>
          <w:lang w:eastAsia="zh-CN"/>
        </w:rPr>
        <w:t>次</w:t>
      </w:r>
      <w:r>
        <w:rPr>
          <w:rFonts w:hint="eastAsia" w:asciiTheme="minorEastAsia" w:hAnsiTheme="minorEastAsia" w:eastAsiaTheme="minorEastAsia"/>
          <w:sz w:val="32"/>
          <w:szCs w:val="32"/>
        </w:rPr>
        <w:t>，内容为</w:t>
      </w:r>
      <w:r>
        <w:rPr>
          <w:rFonts w:hint="eastAsia" w:asciiTheme="minorEastAsia" w:hAnsiTheme="minorEastAsia" w:eastAsiaTheme="minorEastAsia"/>
          <w:color w:val="auto"/>
          <w:sz w:val="32"/>
          <w:szCs w:val="32"/>
        </w:rPr>
        <w:t>质量与计量监管、特种设备监管、食品经营监管、食品安全生产监管、药械监管、特化食品监管、餐饮监管、优化营商环境、深化商事制度改革、消费者权益保护、知识产权保护及网络监管、打击传销、反不正当竞争及价格监管</w:t>
      </w:r>
      <w:r>
        <w:rPr>
          <w:rFonts w:hint="eastAsia" w:asciiTheme="minorEastAsia" w:hAnsiTheme="minorEastAsia" w:eastAsiaTheme="minorEastAsia"/>
          <w:color w:val="auto"/>
          <w:sz w:val="32"/>
          <w:szCs w:val="32"/>
          <w:lang w:eastAsia="zh-CN"/>
        </w:rPr>
        <w:t>等相关培训</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2021年未</w:t>
      </w:r>
      <w:r>
        <w:rPr>
          <w:rFonts w:hint="eastAsia" w:asciiTheme="minorEastAsia" w:hAnsiTheme="minorEastAsia" w:eastAsiaTheme="minorEastAsia"/>
          <w:sz w:val="32"/>
          <w:szCs w:val="32"/>
        </w:rPr>
        <w:t>举办节庆、晚会、论坛、赛事活动，开支</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p>
    <w:p>
      <w:pPr>
        <w:pStyle w:val="12"/>
        <w:ind w:firstLine="640" w:firstLineChars="200"/>
        <w:rPr>
          <w:rFonts w:hAnsi="黑体"/>
          <w:b/>
          <w:sz w:val="32"/>
          <w:szCs w:val="32"/>
        </w:rPr>
      </w:pPr>
      <w:r>
        <w:rPr>
          <w:rFonts w:hint="eastAsia" w:hAnsi="黑体"/>
          <w:b/>
          <w:sz w:val="32"/>
          <w:szCs w:val="32"/>
        </w:rPr>
        <w:t>十二、政府采购支出说明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w:t>
      </w:r>
      <w:r>
        <w:rPr>
          <w:rFonts w:hint="eastAsia" w:asciiTheme="minorEastAsia" w:hAnsiTheme="minorEastAsia" w:eastAsiaTheme="minorEastAsia"/>
          <w:sz w:val="32"/>
          <w:szCs w:val="32"/>
          <w:lang w:val="en-US" w:eastAsia="zh-CN"/>
        </w:rPr>
        <w:t>189.72</w:t>
      </w:r>
      <w:r>
        <w:rPr>
          <w:rFonts w:hint="eastAsia" w:asciiTheme="minorEastAsia" w:hAnsiTheme="minorEastAsia" w:eastAsiaTheme="minorEastAsia"/>
          <w:sz w:val="32"/>
          <w:szCs w:val="32"/>
        </w:rPr>
        <w:t>万元，其中：政府采购货物支出</w:t>
      </w:r>
      <w:r>
        <w:rPr>
          <w:rFonts w:hint="eastAsia" w:asciiTheme="minorEastAsia" w:hAnsiTheme="minorEastAsia" w:eastAsiaTheme="minorEastAsia"/>
          <w:sz w:val="32"/>
          <w:szCs w:val="32"/>
          <w:lang w:val="en-US" w:eastAsia="zh-CN"/>
        </w:rPr>
        <w:t>113.83</w:t>
      </w:r>
      <w:r>
        <w:rPr>
          <w:rFonts w:hint="eastAsia" w:asciiTheme="minorEastAsia" w:hAnsiTheme="minorEastAsia" w:eastAsiaTheme="minorEastAsia"/>
          <w:sz w:val="32"/>
          <w:szCs w:val="32"/>
        </w:rPr>
        <w:t>万元、政府采购工程支出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万元、政府采购服务支出</w:t>
      </w:r>
      <w:r>
        <w:rPr>
          <w:rFonts w:hint="eastAsia" w:asciiTheme="minorEastAsia" w:hAnsiTheme="minorEastAsia" w:eastAsiaTheme="minorEastAsia"/>
          <w:sz w:val="32"/>
          <w:szCs w:val="32"/>
          <w:lang w:val="en-US" w:eastAsia="zh-CN"/>
        </w:rPr>
        <w:t>75.89</w:t>
      </w:r>
      <w:r>
        <w:rPr>
          <w:rFonts w:hint="eastAsia" w:asciiTheme="minorEastAsia" w:hAnsiTheme="minorEastAsia" w:eastAsiaTheme="minorEastAsia"/>
          <w:sz w:val="32"/>
          <w:szCs w:val="32"/>
        </w:rPr>
        <w:t>万元。授予中小企业合同金额</w:t>
      </w:r>
      <w:r>
        <w:rPr>
          <w:rFonts w:hint="eastAsia" w:asciiTheme="minorEastAsia" w:hAnsiTheme="minorEastAsia" w:eastAsiaTheme="minorEastAsia"/>
          <w:sz w:val="32"/>
          <w:szCs w:val="32"/>
          <w:lang w:val="en-US" w:eastAsia="zh-CN"/>
        </w:rPr>
        <w:t>189.72</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%，其中：授予小微企业合同金额</w:t>
      </w:r>
      <w:r>
        <w:rPr>
          <w:rFonts w:hint="eastAsia" w:asciiTheme="minorEastAsia" w:hAnsiTheme="minorEastAsia" w:eastAsiaTheme="minorEastAsia"/>
          <w:sz w:val="32"/>
          <w:szCs w:val="32"/>
          <w:lang w:val="en-US" w:eastAsia="zh-CN"/>
        </w:rPr>
        <w:t>189.72</w:t>
      </w:r>
      <w:r>
        <w:rPr>
          <w:rFonts w:hint="eastAsia" w:asciiTheme="minorEastAsia" w:hAnsiTheme="minorEastAsia" w:eastAsiaTheme="minorEastAsia"/>
          <w:sz w:val="32"/>
          <w:szCs w:val="32"/>
        </w:rPr>
        <w:t>万元，占授予中小企业合同金额的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%；货物采购授予中小企业合同金额占货物支出金额的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%，工程采购授予中小企业合同金额占工程支出金额的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%，服务采购授予中小企业合同金额占服务支出金额的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p>
    <w:p>
      <w:pPr>
        <w:pStyle w:val="12"/>
        <w:ind w:firstLine="640" w:firstLineChars="200"/>
        <w:rPr>
          <w:rFonts w:hAnsi="黑体"/>
          <w:b/>
          <w:sz w:val="32"/>
          <w:szCs w:val="32"/>
        </w:rPr>
      </w:pPr>
      <w:r>
        <w:rPr>
          <w:rFonts w:hint="eastAsia" w:hAnsi="黑体"/>
          <w:b/>
          <w:sz w:val="32"/>
          <w:szCs w:val="32"/>
        </w:rPr>
        <w:t>十三、国有资产占用情况说明</w:t>
      </w:r>
    </w:p>
    <w:p>
      <w:pPr>
        <w:pStyle w:val="12"/>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截至2021年12月31日，</w:t>
      </w:r>
      <w:r>
        <w:rPr>
          <w:rFonts w:hint="eastAsia" w:asciiTheme="minorEastAsia" w:hAnsiTheme="minorEastAsia" w:eastAsiaTheme="minorEastAsia"/>
          <w:sz w:val="32"/>
          <w:szCs w:val="32"/>
          <w:lang w:eastAsia="zh-CN"/>
        </w:rPr>
        <w:t>本</w:t>
      </w:r>
      <w:r>
        <w:rPr>
          <w:rFonts w:hint="eastAsia" w:asciiTheme="minorEastAsia" w:hAnsiTheme="minorEastAsia" w:eastAsiaTheme="minorEastAsia"/>
          <w:sz w:val="32"/>
          <w:szCs w:val="32"/>
        </w:rPr>
        <w:t>单位共有车辆</w:t>
      </w: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辆，其中，主要领导干部用车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辆，机要通信用车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辆、应急保障用车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辆、执法执勤用车</w:t>
      </w: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辆、特种专业技术用车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辆、其他用车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辆，；单位价值50万元以上通用设备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台（套）；单位价值100万元以上专用设备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w:t>
      </w:r>
    </w:p>
    <w:p>
      <w:pPr>
        <w:pStyle w:val="12"/>
        <w:ind w:firstLine="640" w:firstLineChars="200"/>
        <w:rPr>
          <w:rFonts w:hAnsi="黑体"/>
          <w:b/>
          <w:sz w:val="32"/>
          <w:szCs w:val="32"/>
        </w:rPr>
      </w:pPr>
      <w:r>
        <w:rPr>
          <w:rFonts w:hint="eastAsia" w:hAnsi="黑体"/>
          <w:b/>
          <w:sz w:val="32"/>
          <w:szCs w:val="32"/>
          <w:lang w:eastAsia="zh-CN"/>
        </w:rPr>
        <w:t>十四、</w:t>
      </w:r>
      <w:r>
        <w:rPr>
          <w:rFonts w:hint="eastAsia" w:hAnsi="黑体"/>
          <w:b/>
          <w:sz w:val="32"/>
          <w:szCs w:val="32"/>
        </w:rPr>
        <w:t>2021年度预算绩效情况说明</w:t>
      </w:r>
    </w:p>
    <w:p>
      <w:pPr>
        <w:pStyle w:val="12"/>
        <w:ind w:firstLine="640" w:firstLineChars="200"/>
        <w:rPr>
          <w:rFonts w:hint="default" w:asciiTheme="minorEastAsia" w:hAnsiTheme="minorEastAsia" w:eastAsiaTheme="minorEastAsia" w:cstheme="minorEastAsia"/>
          <w:color w:val="auto"/>
          <w:sz w:val="32"/>
          <w:szCs w:val="32"/>
          <w:lang w:val="en-US" w:eastAsia="zh-CN"/>
        </w:rPr>
      </w:pPr>
      <w:r>
        <w:rPr>
          <w:rFonts w:hint="eastAsia" w:asciiTheme="minorEastAsia" w:hAnsiTheme="minorEastAsia" w:eastAsiaTheme="minorEastAsia" w:cstheme="minorEastAsia"/>
          <w:color w:val="auto"/>
          <w:sz w:val="32"/>
          <w:szCs w:val="32"/>
          <w:lang w:eastAsia="zh-CN"/>
        </w:rPr>
        <w:t>岳阳市南湖区市场监管局为岳阳市市场监督管理局所属二级机构，</w:t>
      </w:r>
      <w:r>
        <w:rPr>
          <w:rFonts w:hint="eastAsia" w:asciiTheme="minorEastAsia" w:hAnsiTheme="minorEastAsia" w:eastAsiaTheme="minorEastAsia" w:cstheme="minorEastAsia"/>
          <w:color w:val="auto"/>
          <w:sz w:val="32"/>
          <w:szCs w:val="32"/>
          <w:lang w:val="en-US" w:eastAsia="zh-CN"/>
        </w:rPr>
        <w:t>2021年部门整体及项目绩效评价按要求由部门作汇总绩效评价，2021年单位预算绩效情况见附件岳阳市市场监督管局部门整体绩效评价报告。</w:t>
      </w:r>
    </w:p>
    <w:p>
      <w:pPr>
        <w:autoSpaceDE w:val="0"/>
        <w:autoSpaceDN w:val="0"/>
        <w:adjustRightInd w:val="0"/>
        <w:ind w:firstLine="720" w:firstLineChars="200"/>
        <w:jc w:val="left"/>
        <w:rPr>
          <w:rFonts w:hint="eastAsia" w:cs="黑体" w:asciiTheme="minorEastAsia" w:hAnsiTheme="minorEastAsia" w:eastAsiaTheme="minorEastAsia"/>
          <w:b/>
          <w:bCs/>
          <w:i/>
          <w:iCs/>
          <w:color w:val="FF0000"/>
          <w:kern w:val="0"/>
          <w:sz w:val="36"/>
          <w:szCs w:val="36"/>
          <w:lang w:eastAsia="zh-CN"/>
        </w:rPr>
      </w:pPr>
    </w:p>
    <w:p>
      <w:pPr>
        <w:pStyle w:val="12"/>
        <w:rPr>
          <w:sz w:val="72"/>
          <w:szCs w:val="72"/>
        </w:rPr>
      </w:pPr>
    </w:p>
    <w:p>
      <w:pPr>
        <w:pStyle w:val="12"/>
        <w:jc w:val="both"/>
        <w:rPr>
          <w:sz w:val="72"/>
          <w:szCs w:val="72"/>
        </w:rPr>
      </w:pPr>
    </w:p>
    <w:p>
      <w:pPr>
        <w:pStyle w:val="12"/>
        <w:jc w:val="both"/>
        <w:rPr>
          <w:sz w:val="72"/>
          <w:szCs w:val="72"/>
        </w:rPr>
      </w:pPr>
    </w:p>
    <w:p>
      <w:pPr>
        <w:pStyle w:val="12"/>
        <w:jc w:val="both"/>
        <w:rPr>
          <w:sz w:val="72"/>
          <w:szCs w:val="72"/>
        </w:rPr>
      </w:pPr>
    </w:p>
    <w:p>
      <w:pPr>
        <w:pStyle w:val="12"/>
        <w:jc w:val="both"/>
        <w:rPr>
          <w:sz w:val="72"/>
          <w:szCs w:val="72"/>
        </w:rPr>
      </w:pPr>
    </w:p>
    <w:p>
      <w:pPr>
        <w:pStyle w:val="12"/>
        <w:jc w:val="both"/>
        <w:rPr>
          <w:sz w:val="72"/>
          <w:szCs w:val="72"/>
        </w:rPr>
      </w:pPr>
    </w:p>
    <w:p>
      <w:pPr>
        <w:pStyle w:val="12"/>
        <w:ind w:firstLine="3600" w:firstLineChars="500"/>
        <w:jc w:val="both"/>
        <w:rPr>
          <w:rFonts w:hint="eastAsia"/>
          <w:sz w:val="72"/>
          <w:szCs w:val="72"/>
        </w:rPr>
      </w:pPr>
    </w:p>
    <w:p>
      <w:pPr>
        <w:pStyle w:val="12"/>
        <w:ind w:firstLine="3600" w:firstLineChars="500"/>
        <w:jc w:val="both"/>
        <w:rPr>
          <w:rFonts w:hint="eastAsia"/>
          <w:sz w:val="72"/>
          <w:szCs w:val="72"/>
        </w:rPr>
      </w:pPr>
    </w:p>
    <w:p>
      <w:pPr>
        <w:pStyle w:val="12"/>
        <w:ind w:firstLine="3600" w:firstLineChars="500"/>
        <w:jc w:val="both"/>
        <w:rPr>
          <w:rFonts w:hint="eastAsia"/>
          <w:sz w:val="72"/>
          <w:szCs w:val="72"/>
        </w:rPr>
      </w:pPr>
    </w:p>
    <w:p>
      <w:pPr>
        <w:pStyle w:val="12"/>
        <w:ind w:firstLine="3600" w:firstLineChars="500"/>
        <w:jc w:val="both"/>
        <w:rPr>
          <w:rFonts w:hint="eastAsia"/>
          <w:sz w:val="72"/>
          <w:szCs w:val="72"/>
        </w:rPr>
      </w:pPr>
    </w:p>
    <w:p>
      <w:pPr>
        <w:pStyle w:val="12"/>
        <w:ind w:firstLine="3600" w:firstLineChars="500"/>
        <w:jc w:val="both"/>
        <w:rPr>
          <w:rFonts w:hint="eastAsia"/>
          <w:sz w:val="72"/>
          <w:szCs w:val="72"/>
        </w:rPr>
      </w:pPr>
    </w:p>
    <w:p>
      <w:pPr>
        <w:pStyle w:val="12"/>
        <w:ind w:firstLine="3600" w:firstLineChars="500"/>
        <w:jc w:val="both"/>
        <w:rPr>
          <w:rFonts w:hint="eastAsia"/>
          <w:sz w:val="72"/>
          <w:szCs w:val="72"/>
        </w:rPr>
      </w:pPr>
    </w:p>
    <w:p>
      <w:pPr>
        <w:pStyle w:val="12"/>
        <w:ind w:firstLine="3600" w:firstLineChars="500"/>
        <w:jc w:val="both"/>
        <w:rPr>
          <w:rFonts w:hint="eastAsia"/>
          <w:sz w:val="72"/>
          <w:szCs w:val="72"/>
        </w:rPr>
      </w:pPr>
    </w:p>
    <w:p>
      <w:pPr>
        <w:pStyle w:val="12"/>
        <w:ind w:firstLine="3600" w:firstLineChars="500"/>
        <w:jc w:val="both"/>
        <w:rPr>
          <w:sz w:val="72"/>
          <w:szCs w:val="72"/>
        </w:rPr>
      </w:pPr>
      <w:bookmarkStart w:id="0" w:name="_GoBack"/>
      <w:bookmarkEnd w:id="0"/>
      <w:r>
        <w:rPr>
          <w:rFonts w:hint="eastAsia"/>
          <w:sz w:val="72"/>
          <w:szCs w:val="72"/>
        </w:rPr>
        <w:t>第四部分</w:t>
      </w:r>
    </w:p>
    <w:p>
      <w:pPr>
        <w:jc w:val="center"/>
        <w:rPr>
          <w:rFonts w:ascii="黑体" w:eastAsia="黑体" w:cs="黑体"/>
          <w:color w:val="000000"/>
          <w:kern w:val="0"/>
          <w:sz w:val="70"/>
          <w:szCs w:val="70"/>
        </w:rPr>
      </w:pPr>
    </w:p>
    <w:p>
      <w:pPr>
        <w:jc w:val="center"/>
        <w:rPr>
          <w:rFonts w:hint="eastAsia" w:ascii="黑体" w:eastAsia="黑体" w:cs="黑体"/>
          <w:color w:val="000000"/>
          <w:kern w:val="0"/>
          <w:sz w:val="70"/>
          <w:szCs w:val="70"/>
        </w:rPr>
      </w:pPr>
      <w:r>
        <w:rPr>
          <w:rFonts w:hint="eastAsia" w:ascii="黑体" w:eastAsia="黑体" w:cs="黑体"/>
          <w:color w:val="000000"/>
          <w:kern w:val="0"/>
          <w:sz w:val="70"/>
          <w:szCs w:val="70"/>
        </w:rPr>
        <w:t>名词解释</w:t>
      </w:r>
    </w:p>
    <w:p>
      <w:pPr>
        <w:pStyle w:val="2"/>
        <w:rPr>
          <w:rFonts w:hint="eastAsia" w:ascii="黑体" w:eastAsia="黑体" w:cs="黑体"/>
          <w:color w:val="000000"/>
          <w:kern w:val="0"/>
          <w:sz w:val="70"/>
          <w:szCs w:val="70"/>
        </w:rPr>
      </w:pPr>
    </w:p>
    <w:p>
      <w:pPr>
        <w:pStyle w:val="2"/>
        <w:rPr>
          <w:rFonts w:hint="eastAsia" w:ascii="黑体" w:eastAsia="黑体" w:cs="黑体"/>
          <w:color w:val="000000"/>
          <w:kern w:val="0"/>
          <w:sz w:val="70"/>
          <w:szCs w:val="70"/>
        </w:rPr>
      </w:pPr>
    </w:p>
    <w:p>
      <w:pPr>
        <w:pStyle w:val="2"/>
        <w:rPr>
          <w:rFonts w:hint="eastAsia" w:ascii="黑体" w:eastAsia="黑体" w:cs="黑体"/>
          <w:color w:val="000000"/>
          <w:kern w:val="0"/>
          <w:sz w:val="70"/>
          <w:szCs w:val="70"/>
        </w:rPr>
      </w:pPr>
    </w:p>
    <w:p>
      <w:pPr>
        <w:pStyle w:val="2"/>
        <w:rPr>
          <w:rFonts w:hint="eastAsia" w:ascii="黑体" w:eastAsia="黑体" w:cs="黑体"/>
          <w:color w:val="000000"/>
          <w:kern w:val="0"/>
          <w:sz w:val="70"/>
          <w:szCs w:val="70"/>
        </w:rPr>
      </w:pPr>
    </w:p>
    <w:p>
      <w:pPr>
        <w:pStyle w:val="2"/>
        <w:rPr>
          <w:rFonts w:hint="eastAsia" w:ascii="黑体" w:eastAsia="黑体" w:cs="黑体"/>
          <w:color w:val="000000"/>
          <w:kern w:val="0"/>
          <w:sz w:val="70"/>
          <w:szCs w:val="70"/>
        </w:rPr>
      </w:pPr>
    </w:p>
    <w:p>
      <w:pPr>
        <w:pStyle w:val="2"/>
        <w:rPr>
          <w:rFonts w:hint="eastAsia" w:ascii="黑体" w:eastAsia="黑体" w:cs="黑体"/>
          <w:color w:val="000000"/>
          <w:kern w:val="0"/>
          <w:sz w:val="70"/>
          <w:szCs w:val="70"/>
        </w:rPr>
      </w:pPr>
    </w:p>
    <w:p>
      <w:pPr>
        <w:pStyle w:val="2"/>
        <w:rPr>
          <w:rFonts w:hint="eastAsia" w:ascii="黑体" w:eastAsia="黑体" w:cs="黑体"/>
          <w:color w:val="000000"/>
          <w:kern w:val="0"/>
          <w:sz w:val="70"/>
          <w:szCs w:val="70"/>
        </w:rPr>
      </w:pPr>
    </w:p>
    <w:p>
      <w:pPr>
        <w:pStyle w:val="2"/>
        <w:rPr>
          <w:rFonts w:hint="eastAsia" w:ascii="黑体" w:eastAsia="黑体" w:cs="黑体"/>
          <w:color w:val="000000"/>
          <w:kern w:val="0"/>
          <w:sz w:val="70"/>
          <w:szCs w:val="70"/>
        </w:rPr>
      </w:pPr>
    </w:p>
    <w:p>
      <w:pPr>
        <w:pStyle w:val="2"/>
        <w:rPr>
          <w:rFonts w:hint="eastAsia" w:ascii="黑体" w:eastAsia="黑体" w:cs="黑体"/>
          <w:color w:val="000000"/>
          <w:kern w:val="0"/>
          <w:sz w:val="70"/>
          <w:szCs w:val="70"/>
        </w:rPr>
      </w:pPr>
    </w:p>
    <w:p>
      <w:pPr>
        <w:pStyle w:val="2"/>
        <w:rPr>
          <w:rFonts w:hint="eastAsia" w:ascii="黑体" w:eastAsia="黑体" w:cs="黑体"/>
          <w:color w:val="000000"/>
          <w:kern w:val="0"/>
          <w:sz w:val="70"/>
          <w:szCs w:val="70"/>
        </w:rPr>
      </w:pPr>
    </w:p>
    <w:p>
      <w:pPr>
        <w:pStyle w:val="2"/>
        <w:rPr>
          <w:rFonts w:hint="eastAsia" w:ascii="黑体" w:eastAsia="黑体" w:cs="黑体"/>
          <w:color w:val="000000"/>
          <w:kern w:val="0"/>
          <w:sz w:val="70"/>
          <w:szCs w:val="70"/>
        </w:rPr>
      </w:pPr>
    </w:p>
    <w:p>
      <w:pPr>
        <w:pStyle w:val="2"/>
        <w:rPr>
          <w:rFonts w:hint="eastAsia" w:ascii="黑体" w:eastAsia="黑体" w:cs="黑体"/>
          <w:color w:val="000000"/>
          <w:kern w:val="0"/>
          <w:sz w:val="70"/>
          <w:szCs w:val="70"/>
        </w:rPr>
      </w:pPr>
    </w:p>
    <w:p>
      <w:pPr>
        <w:pStyle w:val="2"/>
        <w:rPr>
          <w:rFonts w:hint="eastAsia" w:ascii="黑体" w:eastAsia="黑体" w:cs="黑体"/>
          <w:color w:val="000000"/>
          <w:kern w:val="0"/>
          <w:sz w:val="70"/>
          <w:szCs w:val="70"/>
        </w:rPr>
      </w:pPr>
    </w:p>
    <w:p>
      <w:pPr>
        <w:pStyle w:val="2"/>
        <w:rPr>
          <w:rFonts w:hint="eastAsia" w:ascii="黑体" w:eastAsia="黑体" w:cs="黑体"/>
          <w:color w:val="000000"/>
          <w:kern w:val="0"/>
          <w:sz w:val="70"/>
          <w:szCs w:val="70"/>
        </w:rPr>
      </w:pPr>
    </w:p>
    <w:p>
      <w:pPr>
        <w:pStyle w:val="2"/>
        <w:rPr>
          <w:rFonts w:hint="eastAsia" w:ascii="黑体" w:eastAsia="黑体" w:cs="黑体"/>
          <w:color w:val="000000"/>
          <w:kern w:val="0"/>
          <w:sz w:val="70"/>
          <w:szCs w:val="70"/>
        </w:rPr>
      </w:pPr>
    </w:p>
    <w:p>
      <w:pPr>
        <w:pStyle w:val="2"/>
        <w:rPr>
          <w:rFonts w:hint="eastAsia" w:ascii="黑体" w:eastAsia="黑体" w:cs="黑体"/>
          <w:color w:val="000000"/>
          <w:kern w:val="0"/>
          <w:sz w:val="70"/>
          <w:szCs w:val="70"/>
        </w:rPr>
      </w:pP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二、机关运行经费</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left"/>
        <w:rPr>
          <w:rFonts w:hint="eastAsia" w:ascii="宋体" w:hAnsi="宋体" w:eastAsia="宋体" w:cs="宋体"/>
          <w:color w:val="000000"/>
          <w:kern w:val="0"/>
          <w:sz w:val="32"/>
          <w:szCs w:val="32"/>
        </w:rPr>
      </w:pPr>
      <w:r>
        <w:rPr>
          <w:rFonts w:hint="eastAsia" w:ascii="宋体" w:hAnsi="宋体" w:eastAsia="宋体" w:cs="宋体"/>
          <w:color w:val="000000"/>
          <w:kern w:val="0"/>
          <w:sz w:val="32"/>
          <w:szCs w:val="32"/>
          <w:lang w:eastAsia="zh-CN"/>
        </w:rPr>
        <w:t>三</w:t>
      </w:r>
      <w:r>
        <w:rPr>
          <w:rFonts w:hint="eastAsia" w:ascii="宋体" w:hAnsi="宋体" w:eastAsia="宋体" w:cs="宋体"/>
          <w:color w:val="000000"/>
          <w:kern w:val="0"/>
          <w:sz w:val="32"/>
          <w:szCs w:val="32"/>
        </w:rPr>
        <w:t>、财政拨款收入：是指市级财政当年拨付的资金。</w:t>
      </w:r>
    </w:p>
    <w:p>
      <w:pPr>
        <w:ind w:firstLine="640" w:firstLineChars="200"/>
        <w:jc w:val="left"/>
        <w:rPr>
          <w:rFonts w:hint="eastAsia" w:ascii="宋体" w:hAnsi="宋体" w:eastAsia="宋体" w:cs="宋体"/>
          <w:color w:val="000000"/>
          <w:kern w:val="0"/>
          <w:sz w:val="32"/>
          <w:szCs w:val="32"/>
        </w:rPr>
      </w:pPr>
      <w:r>
        <w:rPr>
          <w:rFonts w:hint="eastAsia" w:ascii="宋体" w:hAnsi="宋体" w:eastAsia="宋体" w:cs="宋体"/>
          <w:color w:val="000000"/>
          <w:kern w:val="0"/>
          <w:sz w:val="32"/>
          <w:szCs w:val="32"/>
          <w:lang w:eastAsia="zh-CN"/>
        </w:rPr>
        <w:t>四</w:t>
      </w:r>
      <w:r>
        <w:rPr>
          <w:rFonts w:hint="eastAsia" w:ascii="宋体" w:hAnsi="宋体" w:eastAsia="宋体" w:cs="宋体"/>
          <w:color w:val="000000"/>
          <w:kern w:val="0"/>
          <w:sz w:val="32"/>
          <w:szCs w:val="32"/>
        </w:rPr>
        <w:t>、年初结转和结余：是指以前年度支出预算因客观条件变化未执行完毕、结转到本年度按有关规定继续使用的资金。</w:t>
      </w:r>
    </w:p>
    <w:p>
      <w:pPr>
        <w:ind w:firstLine="640" w:firstLineChars="200"/>
        <w:jc w:val="left"/>
        <w:rPr>
          <w:rFonts w:hint="eastAsia" w:ascii="宋体" w:hAnsi="宋体" w:eastAsia="宋体" w:cs="宋体"/>
          <w:color w:val="000000"/>
          <w:kern w:val="0"/>
          <w:sz w:val="32"/>
          <w:szCs w:val="32"/>
        </w:rPr>
      </w:pPr>
      <w:r>
        <w:rPr>
          <w:rFonts w:hint="eastAsia" w:ascii="宋体" w:hAnsi="宋体" w:eastAsia="宋体" w:cs="宋体"/>
          <w:color w:val="000000"/>
          <w:kern w:val="0"/>
          <w:sz w:val="32"/>
          <w:szCs w:val="32"/>
          <w:lang w:eastAsia="zh-CN"/>
        </w:rPr>
        <w:t>五</w:t>
      </w:r>
      <w:r>
        <w:rPr>
          <w:rFonts w:hint="eastAsia" w:ascii="宋体" w:hAnsi="宋体" w:eastAsia="宋体" w:cs="宋体"/>
          <w:color w:val="000000"/>
          <w:kern w:val="0"/>
          <w:sz w:val="32"/>
          <w:szCs w:val="32"/>
        </w:rPr>
        <w:t>、基本支出：是指为保障机构正常运转、完成日常工作任务所必需的开支，其内容包括人员经费和日常公用经费两部分。</w:t>
      </w:r>
    </w:p>
    <w:p>
      <w:pPr>
        <w:ind w:firstLine="640" w:firstLineChars="200"/>
        <w:jc w:val="left"/>
        <w:rPr>
          <w:rFonts w:hint="eastAsia" w:ascii="宋体" w:hAnsi="宋体" w:eastAsia="宋体" w:cs="宋体"/>
          <w:color w:val="000000"/>
          <w:kern w:val="0"/>
          <w:sz w:val="32"/>
          <w:szCs w:val="32"/>
        </w:rPr>
      </w:pPr>
      <w:r>
        <w:rPr>
          <w:rFonts w:hint="eastAsia" w:ascii="宋体" w:hAnsi="宋体" w:eastAsia="宋体" w:cs="宋体"/>
          <w:color w:val="000000"/>
          <w:kern w:val="0"/>
          <w:sz w:val="32"/>
          <w:szCs w:val="32"/>
          <w:lang w:eastAsia="zh-CN"/>
        </w:rPr>
        <w:t>六</w:t>
      </w:r>
      <w:r>
        <w:rPr>
          <w:rFonts w:hint="eastAsia" w:ascii="宋体" w:hAnsi="宋体" w:eastAsia="宋体" w:cs="宋体"/>
          <w:color w:val="000000"/>
          <w:kern w:val="0"/>
          <w:sz w:val="32"/>
          <w:szCs w:val="32"/>
        </w:rPr>
        <w:t>、项目支出：是指在基本支出之外，为完成特定的行政工作任务或事业发展目标所发生的支出。</w:t>
      </w:r>
    </w:p>
    <w:p>
      <w:pPr>
        <w:ind w:firstLine="640" w:firstLineChars="200"/>
        <w:jc w:val="left"/>
        <w:rPr>
          <w:sz w:val="72"/>
          <w:szCs w:val="72"/>
        </w:rPr>
      </w:pPr>
      <w:r>
        <w:rPr>
          <w:rFonts w:hint="eastAsia" w:ascii="宋体" w:hAnsi="宋体" w:eastAsia="宋体" w:cs="宋体"/>
          <w:color w:val="000000"/>
          <w:kern w:val="0"/>
          <w:sz w:val="32"/>
          <w:szCs w:val="32"/>
          <w:lang w:eastAsia="zh-CN"/>
        </w:rPr>
        <w:t>七</w:t>
      </w:r>
      <w:r>
        <w:rPr>
          <w:rFonts w:hint="eastAsia" w:ascii="宋体" w:hAnsi="宋体" w:eastAsia="宋体" w:cs="宋体"/>
          <w:color w:val="000000"/>
          <w:kern w:val="0"/>
          <w:sz w:val="32"/>
          <w:szCs w:val="32"/>
        </w:rPr>
        <w:t>、一般公共服务（类）：是指用于保障机构正常运行、开展业务等活动的支出。行政运行（项）：是指为保障市委政法委各行政机构正常运转、完成日常工作任务安排的支出。</w:t>
      </w:r>
    </w:p>
    <w:p>
      <w:pPr>
        <w:pStyle w:val="12"/>
        <w:jc w:val="center"/>
        <w:rPr>
          <w:sz w:val="72"/>
          <w:szCs w:val="72"/>
        </w:rPr>
      </w:pPr>
    </w:p>
    <w:p>
      <w:pPr>
        <w:pStyle w:val="12"/>
        <w:jc w:val="center"/>
        <w:rPr>
          <w:sz w:val="72"/>
          <w:szCs w:val="72"/>
        </w:rPr>
      </w:pPr>
    </w:p>
    <w:p>
      <w:pPr>
        <w:pStyle w:val="12"/>
        <w:jc w:val="center"/>
        <w:rPr>
          <w:sz w:val="72"/>
          <w:szCs w:val="72"/>
        </w:rPr>
      </w:pPr>
    </w:p>
    <w:p>
      <w:pPr>
        <w:pStyle w:val="12"/>
        <w:jc w:val="both"/>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left"/>
        <w:rPr>
          <w:rFonts w:hint="eastAsia" w:cs="黑体" w:asciiTheme="minorEastAsia" w:hAnsiTheme="minorEastAsia" w:eastAsiaTheme="minorEastAsia"/>
          <w:b/>
          <w:color w:val="000000"/>
          <w:kern w:val="0"/>
          <w:sz w:val="32"/>
          <w:szCs w:val="32"/>
          <w:lang w:val="en-US" w:eastAsia="zh-CN"/>
        </w:rPr>
      </w:pPr>
      <w:r>
        <w:rPr>
          <w:rFonts w:hint="eastAsia" w:cs="黑体" w:asciiTheme="minorEastAsia" w:hAnsiTheme="minorEastAsia"/>
          <w:b/>
          <w:color w:val="000000"/>
          <w:kern w:val="0"/>
          <w:sz w:val="32"/>
          <w:szCs w:val="32"/>
          <w:lang w:val="en-US" w:eastAsia="zh-CN"/>
        </w:rPr>
        <w:t>1、2021年部门决算公开表格</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lang w:val="en-US" w:eastAsia="zh-CN"/>
        </w:rPr>
        <w:t>2、</w:t>
      </w:r>
      <w:r>
        <w:rPr>
          <w:rFonts w:hint="eastAsia" w:cs="黑体" w:asciiTheme="minorEastAsia" w:hAnsiTheme="minorEastAsia"/>
          <w:b/>
          <w:color w:val="000000"/>
          <w:kern w:val="0"/>
          <w:sz w:val="32"/>
          <w:szCs w:val="32"/>
        </w:rPr>
        <w:t>2021年度部门整体支出绩效评价报告</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东文宋体">
    <w:altName w:val="方正书宋_GBK"/>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733EFD"/>
    <w:multiLevelType w:val="singleLevel"/>
    <w:tmpl w:val="FC733EFD"/>
    <w:lvl w:ilvl="0" w:tentative="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xM2IwZmE3NmViOTdkZmRlNTU4YTM5NjEyYWJkZGYifQ=="/>
  </w:docVars>
  <w:rsids>
    <w:rsidRoot w:val="00172A27"/>
    <w:rsid w:val="0002229B"/>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197"/>
    <w:rsid w:val="003C47E6"/>
    <w:rsid w:val="003C4FC2"/>
    <w:rsid w:val="003E2331"/>
    <w:rsid w:val="00416E61"/>
    <w:rsid w:val="0042790C"/>
    <w:rsid w:val="004506F9"/>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D06FF"/>
    <w:rsid w:val="00DD5FE9"/>
    <w:rsid w:val="00E00C7A"/>
    <w:rsid w:val="00E209CF"/>
    <w:rsid w:val="00E37D6C"/>
    <w:rsid w:val="00E55B68"/>
    <w:rsid w:val="00E67BE6"/>
    <w:rsid w:val="00E8683C"/>
    <w:rsid w:val="00EA2B72"/>
    <w:rsid w:val="00F74360"/>
    <w:rsid w:val="00FB462F"/>
    <w:rsid w:val="00FE16FA"/>
    <w:rsid w:val="00FE328A"/>
    <w:rsid w:val="00FE6269"/>
    <w:rsid w:val="00FF5CD6"/>
    <w:rsid w:val="023F52E2"/>
    <w:rsid w:val="05633A58"/>
    <w:rsid w:val="06B411F0"/>
    <w:rsid w:val="087403E0"/>
    <w:rsid w:val="0BE56081"/>
    <w:rsid w:val="0C4D2117"/>
    <w:rsid w:val="13BE003E"/>
    <w:rsid w:val="17306175"/>
    <w:rsid w:val="17A87124"/>
    <w:rsid w:val="18C8173A"/>
    <w:rsid w:val="198B0873"/>
    <w:rsid w:val="23320E20"/>
    <w:rsid w:val="27DB542D"/>
    <w:rsid w:val="28C033E3"/>
    <w:rsid w:val="366364DD"/>
    <w:rsid w:val="370B6762"/>
    <w:rsid w:val="38057430"/>
    <w:rsid w:val="3D01498F"/>
    <w:rsid w:val="42F549D3"/>
    <w:rsid w:val="45F9639D"/>
    <w:rsid w:val="48ED43E7"/>
    <w:rsid w:val="49015BA0"/>
    <w:rsid w:val="60A907EA"/>
    <w:rsid w:val="6145544E"/>
    <w:rsid w:val="67426880"/>
    <w:rsid w:val="72400EA6"/>
    <w:rsid w:val="78767001"/>
    <w:rsid w:val="7AA44671"/>
    <w:rsid w:val="7C653614"/>
    <w:rsid w:val="DBF77184"/>
    <w:rsid w:val="EF6FE39C"/>
    <w:rsid w:val="F4ED6D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unhideWhenUsed/>
    <w:qFormat/>
    <w:uiPriority w:val="99"/>
    <w:pPr>
      <w:spacing w:line="540" w:lineRule="exact"/>
      <w:ind w:firstLine="562" w:firstLineChars="200"/>
    </w:pPr>
    <w:rPr>
      <w:rFonts w:ascii="仿宋_GB2312"/>
      <w:b/>
      <w:bCs/>
      <w:sz w:val="28"/>
      <w:szCs w:val="28"/>
    </w:rPr>
  </w:style>
  <w:style w:type="paragraph" w:styleId="4">
    <w:name w:val="Balloon Text"/>
    <w:basedOn w:val="1"/>
    <w:link w:val="14"/>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customStyle="1" w:styleId="10">
    <w:name w:val="页眉 Char"/>
    <w:basedOn w:val="9"/>
    <w:link w:val="6"/>
    <w:qFormat/>
    <w:uiPriority w:val="99"/>
    <w:rPr>
      <w:sz w:val="18"/>
      <w:szCs w:val="18"/>
    </w:rPr>
  </w:style>
  <w:style w:type="character" w:customStyle="1" w:styleId="11">
    <w:name w:val="页脚 Char"/>
    <w:basedOn w:val="9"/>
    <w:link w:val="5"/>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Char"/>
    <w:basedOn w:val="9"/>
    <w:link w:val="4"/>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17</Pages>
  <Words>4994</Words>
  <Characters>5531</Characters>
  <Lines>69</Lines>
  <Paragraphs>19</Paragraphs>
  <TotalTime>1</TotalTime>
  <ScaleCrop>false</ScaleCrop>
  <LinksUpToDate>false</LinksUpToDate>
  <CharactersWithSpaces>5548</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2020-07-03T02:32:00Z</dcterms:created>
  <dc:creator>李航 null</dc:creator>
  <cp:lastModifiedBy>瑶瑶</cp:lastModifiedBy>
  <cp:lastPrinted>2022-07-28T12:55:00Z</cp:lastPrinted>
  <dcterms:modified xsi:type="dcterms:W3CDTF">2023-09-21T17:28:39Z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11BB909B9C7E43C6BF83A04B3CAC67DB</vt:lpwstr>
  </property>
</Properties>
</file>