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hint="eastAsia"/>
          <w:color w:val="auto"/>
          <w:sz w:val="56"/>
          <w:szCs w:val="56"/>
        </w:rPr>
      </w:pPr>
    </w:p>
    <w:p>
      <w:pPr>
        <w:pStyle w:val="11"/>
        <w:jc w:val="center"/>
        <w:rPr>
          <w:color w:val="auto"/>
          <w:sz w:val="56"/>
          <w:szCs w:val="56"/>
        </w:rPr>
      </w:pPr>
    </w:p>
    <w:p>
      <w:pPr>
        <w:pStyle w:val="11"/>
        <w:jc w:val="center"/>
        <w:rPr>
          <w:color w:val="auto"/>
          <w:sz w:val="84"/>
          <w:szCs w:val="84"/>
        </w:rPr>
      </w:pPr>
    </w:p>
    <w:p>
      <w:pPr>
        <w:pStyle w:val="11"/>
        <w:jc w:val="center"/>
        <w:rPr>
          <w:color w:val="auto"/>
          <w:sz w:val="84"/>
          <w:szCs w:val="84"/>
        </w:rPr>
      </w:pPr>
    </w:p>
    <w:p>
      <w:pPr>
        <w:pStyle w:val="11"/>
        <w:jc w:val="center"/>
        <w:rPr>
          <w:color w:val="auto"/>
          <w:sz w:val="74"/>
          <w:szCs w:val="74"/>
        </w:rPr>
      </w:pPr>
      <w:r>
        <w:rPr>
          <w:rFonts w:hint="eastAsia"/>
          <w:color w:val="auto"/>
          <w:sz w:val="74"/>
          <w:szCs w:val="74"/>
        </w:rPr>
        <w:t>2021年度</w:t>
      </w:r>
    </w:p>
    <w:p>
      <w:pPr>
        <w:pStyle w:val="11"/>
        <w:jc w:val="center"/>
        <w:rPr>
          <w:color w:val="auto"/>
          <w:sz w:val="74"/>
          <w:szCs w:val="74"/>
        </w:rPr>
      </w:pPr>
      <w:r>
        <w:rPr>
          <w:rFonts w:hint="eastAsia"/>
          <w:color w:val="auto"/>
          <w:sz w:val="74"/>
          <w:szCs w:val="74"/>
          <w:lang w:eastAsia="zh-CN"/>
        </w:rPr>
        <w:t>岳阳市市场监督管理局岳阳经济技术开发区分局</w:t>
      </w:r>
      <w:r>
        <w:rPr>
          <w:rFonts w:hint="eastAsia"/>
          <w:color w:val="auto"/>
          <w:sz w:val="74"/>
          <w:szCs w:val="74"/>
        </w:rPr>
        <w:t>部门决算</w:t>
      </w:r>
    </w:p>
    <w:p>
      <w:pPr>
        <w:pStyle w:val="11"/>
        <w:jc w:val="center"/>
        <w:rPr>
          <w:color w:val="auto"/>
          <w:sz w:val="56"/>
          <w:szCs w:val="56"/>
        </w:rPr>
      </w:pPr>
    </w:p>
    <w:p>
      <w:pPr>
        <w:pStyle w:val="11"/>
        <w:jc w:val="center"/>
        <w:rPr>
          <w:color w:val="auto"/>
          <w:sz w:val="56"/>
          <w:szCs w:val="56"/>
        </w:rPr>
      </w:pPr>
    </w:p>
    <w:p>
      <w:pPr>
        <w:pStyle w:val="11"/>
        <w:jc w:val="center"/>
        <w:rPr>
          <w:color w:val="auto"/>
          <w:sz w:val="56"/>
          <w:szCs w:val="56"/>
        </w:rPr>
      </w:pPr>
    </w:p>
    <w:p>
      <w:pPr>
        <w:pStyle w:val="11"/>
        <w:jc w:val="center"/>
        <w:rPr>
          <w:color w:val="auto"/>
          <w:sz w:val="56"/>
          <w:szCs w:val="56"/>
        </w:rPr>
      </w:pPr>
    </w:p>
    <w:p>
      <w:pPr>
        <w:pStyle w:val="11"/>
        <w:jc w:val="center"/>
        <w:rPr>
          <w:color w:val="auto"/>
          <w:sz w:val="32"/>
          <w:szCs w:val="32"/>
        </w:rPr>
      </w:pPr>
    </w:p>
    <w:p>
      <w:pPr>
        <w:pStyle w:val="11"/>
        <w:jc w:val="center"/>
        <w:rPr>
          <w:color w:val="auto"/>
          <w:sz w:val="32"/>
          <w:szCs w:val="32"/>
        </w:rPr>
      </w:pPr>
    </w:p>
    <w:p>
      <w:pPr>
        <w:pStyle w:val="11"/>
        <w:jc w:val="center"/>
        <w:rPr>
          <w:color w:val="auto"/>
          <w:sz w:val="32"/>
          <w:szCs w:val="32"/>
        </w:rPr>
      </w:pPr>
    </w:p>
    <w:p>
      <w:pPr>
        <w:pStyle w:val="11"/>
        <w:jc w:val="center"/>
        <w:rPr>
          <w:color w:val="auto"/>
          <w:sz w:val="32"/>
          <w:szCs w:val="32"/>
        </w:rPr>
      </w:pPr>
    </w:p>
    <w:p>
      <w:pPr>
        <w:pStyle w:val="11"/>
        <w:jc w:val="center"/>
        <w:rPr>
          <w:color w:val="auto"/>
          <w:sz w:val="32"/>
          <w:szCs w:val="32"/>
        </w:rPr>
      </w:pPr>
    </w:p>
    <w:p>
      <w:pPr>
        <w:pStyle w:val="11"/>
        <w:keepNext w:val="0"/>
        <w:keepLines w:val="0"/>
        <w:pageBreakBefore w:val="0"/>
        <w:widowControl w:val="0"/>
        <w:kinsoku/>
        <w:wordWrap/>
        <w:overflowPunct/>
        <w:topLinePunct w:val="0"/>
        <w:bidi w:val="0"/>
        <w:snapToGrid/>
        <w:spacing w:line="480" w:lineRule="exact"/>
        <w:jc w:val="center"/>
        <w:textAlignment w:val="auto"/>
        <w:rPr>
          <w:b/>
          <w:color w:val="auto"/>
          <w:sz w:val="36"/>
          <w:szCs w:val="28"/>
        </w:rPr>
      </w:pPr>
      <w:r>
        <w:rPr>
          <w:rFonts w:hint="eastAsia"/>
          <w:b/>
          <w:color w:val="auto"/>
          <w:sz w:val="36"/>
          <w:szCs w:val="28"/>
        </w:rPr>
        <w:t>目录</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color w:val="auto"/>
          <w:sz w:val="28"/>
          <w:szCs w:val="28"/>
        </w:rPr>
      </w:pPr>
      <w:r>
        <w:rPr>
          <w:rFonts w:hint="eastAsia"/>
          <w:b/>
          <w:color w:val="auto"/>
          <w:sz w:val="28"/>
          <w:szCs w:val="28"/>
        </w:rPr>
        <w:t>第一部分</w:t>
      </w:r>
      <w:r>
        <w:rPr>
          <w:rFonts w:hint="eastAsia"/>
          <w:b/>
          <w:color w:val="auto"/>
          <w:sz w:val="28"/>
          <w:szCs w:val="28"/>
          <w:lang w:val="en-US" w:eastAsia="zh-CN"/>
        </w:rPr>
        <w:t xml:space="preserve">  岳阳市市场监督管理局岳阳经济技术开发区分局</w:t>
      </w:r>
      <w:r>
        <w:rPr>
          <w:rFonts w:hint="eastAsia"/>
          <w:b/>
          <w:color w:val="auto"/>
          <w:sz w:val="28"/>
          <w:szCs w:val="28"/>
        </w:rPr>
        <w:t>单位概况</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color w:val="auto"/>
          <w:sz w:val="28"/>
          <w:szCs w:val="28"/>
          <w:lang w:eastAsia="zh-CN"/>
        </w:rPr>
      </w:pPr>
      <w:r>
        <w:rPr>
          <w:rFonts w:cs="仿宋_GB2312" w:asciiTheme="minorEastAsia" w:hAnsiTheme="minorEastAsia" w:eastAsiaTheme="minorEastAsia"/>
          <w:color w:val="auto"/>
          <w:sz w:val="28"/>
          <w:szCs w:val="28"/>
        </w:rPr>
        <w:t>二、机构设置</w:t>
      </w:r>
      <w:r>
        <w:rPr>
          <w:rFonts w:hint="eastAsia" w:cs="仿宋_GB2312" w:asciiTheme="minorEastAsia" w:hAnsiTheme="minorEastAsia" w:eastAsiaTheme="minorEastAsia"/>
          <w:color w:val="auto"/>
          <w:sz w:val="28"/>
          <w:szCs w:val="28"/>
          <w:lang w:eastAsia="zh-CN"/>
        </w:rPr>
        <w:t>及决算单位构成</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color w:val="auto"/>
          <w:sz w:val="28"/>
          <w:szCs w:val="28"/>
        </w:rPr>
      </w:pPr>
      <w:r>
        <w:rPr>
          <w:rFonts w:hint="eastAsia" w:hAnsi="仿宋_GB2312"/>
          <w:b/>
          <w:color w:val="auto"/>
          <w:sz w:val="28"/>
          <w:szCs w:val="28"/>
        </w:rPr>
        <w:t>第二部分</w:t>
      </w:r>
      <w:r>
        <w:rPr>
          <w:rFonts w:hint="eastAsia" w:hAnsi="仿宋_GB2312"/>
          <w:b/>
          <w:color w:val="auto"/>
          <w:sz w:val="28"/>
          <w:szCs w:val="28"/>
          <w:lang w:val="en-US" w:eastAsia="zh-CN"/>
        </w:rPr>
        <w:t xml:space="preserve">  </w:t>
      </w:r>
      <w:r>
        <w:rPr>
          <w:rFonts w:hAnsi="仿宋_GB2312"/>
          <w:b/>
          <w:color w:val="auto"/>
          <w:sz w:val="28"/>
          <w:szCs w:val="28"/>
        </w:rPr>
        <w:t>20</w:t>
      </w:r>
      <w:r>
        <w:rPr>
          <w:rFonts w:hint="eastAsia" w:hAnsi="仿宋_GB2312"/>
          <w:b/>
          <w:color w:val="auto"/>
          <w:sz w:val="28"/>
          <w:szCs w:val="28"/>
        </w:rPr>
        <w:t>21年度部门决算表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w:t>
      </w:r>
      <w:r>
        <w:rPr>
          <w:rFonts w:hint="eastAsia" w:cs="仿宋_GB2312" w:asciiTheme="minorEastAsia" w:hAnsiTheme="minorEastAsia" w:eastAsiaTheme="minorEastAsia"/>
          <w:color w:val="auto"/>
          <w:sz w:val="28"/>
          <w:szCs w:val="28"/>
        </w:rPr>
        <w:t>明细</w:t>
      </w:r>
      <w:r>
        <w:rPr>
          <w:rFonts w:cs="仿宋_GB2312" w:asciiTheme="minorEastAsia" w:hAnsiTheme="minorEastAsia" w:eastAsiaTheme="minorEastAsia"/>
          <w:color w:val="auto"/>
          <w:sz w:val="28"/>
          <w:szCs w:val="28"/>
        </w:rPr>
        <w:t>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hint="eastAsia" w:cs="仿宋_GB2312" w:asciiTheme="minorEastAsia" w:hAnsiTheme="minorEastAsia" w:eastAsiaTheme="minorEastAsia"/>
          <w:color w:val="auto"/>
          <w:sz w:val="28"/>
          <w:szCs w:val="28"/>
        </w:rPr>
        <w:t>九、国有资本经营预算财政拨款支出决算表</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color w:val="auto"/>
          <w:sz w:val="28"/>
          <w:szCs w:val="28"/>
        </w:rPr>
      </w:pPr>
      <w:r>
        <w:rPr>
          <w:rFonts w:hint="eastAsia" w:hAnsi="仿宋_GB2312"/>
          <w:b/>
          <w:color w:val="auto"/>
          <w:sz w:val="28"/>
          <w:szCs w:val="28"/>
        </w:rPr>
        <w:t>第三部分</w:t>
      </w:r>
      <w:r>
        <w:rPr>
          <w:rFonts w:hint="eastAsia" w:hAnsi="仿宋_GB2312"/>
          <w:b/>
          <w:color w:val="auto"/>
          <w:sz w:val="28"/>
          <w:szCs w:val="28"/>
          <w:lang w:val="en-US" w:eastAsia="zh-CN"/>
        </w:rPr>
        <w:t xml:space="preserve">  </w:t>
      </w:r>
      <w:r>
        <w:rPr>
          <w:rFonts w:hAnsi="仿宋_GB2312"/>
          <w:b/>
          <w:color w:val="auto"/>
          <w:sz w:val="28"/>
          <w:szCs w:val="28"/>
        </w:rPr>
        <w:t>20</w:t>
      </w:r>
      <w:r>
        <w:rPr>
          <w:rFonts w:hint="eastAsia" w:hAnsi="仿宋_GB2312"/>
          <w:b/>
          <w:color w:val="auto"/>
          <w:sz w:val="28"/>
          <w:szCs w:val="28"/>
        </w:rPr>
        <w:t>21年度部门决算情况说明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color w:val="auto"/>
          <w:sz w:val="28"/>
          <w:szCs w:val="28"/>
        </w:rPr>
      </w:pPr>
      <w:r>
        <w:rPr>
          <w:rFonts w:ascii="仿宋_GB2312" w:hAnsi="仿宋_GB2312" w:cs="仿宋_GB2312"/>
          <w:color w:val="auto"/>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ascii="仿宋_GB2312" w:hAnsi="仿宋_GB2312" w:cs="仿宋_GB2312"/>
          <w:color w:val="auto"/>
          <w:kern w:val="0"/>
          <w:sz w:val="28"/>
          <w:szCs w:val="28"/>
        </w:rPr>
        <w:t>七、一般公共预算财政拨款</w:t>
      </w:r>
      <w:r>
        <w:rPr>
          <w:rFonts w:hint="eastAsia" w:ascii="仿宋_GB2312" w:hAnsi="仿宋_GB2312" w:cs="仿宋_GB2312"/>
          <w:color w:val="auto"/>
          <w:kern w:val="0"/>
          <w:sz w:val="28"/>
          <w:szCs w:val="28"/>
        </w:rPr>
        <w:t>“</w:t>
      </w:r>
      <w:r>
        <w:rPr>
          <w:rFonts w:ascii="仿宋_GB2312" w:hAnsi="仿宋_GB2312" w:cs="仿宋_GB2312"/>
          <w:color w:val="auto"/>
          <w:kern w:val="0"/>
          <w:sz w:val="28"/>
          <w:szCs w:val="28"/>
        </w:rPr>
        <w:t>三公</w:t>
      </w:r>
      <w:r>
        <w:rPr>
          <w:rFonts w:hint="eastAsia" w:ascii="仿宋_GB2312" w:hAnsi="仿宋_GB2312" w:cs="仿宋_GB2312"/>
          <w:color w:val="auto"/>
          <w:kern w:val="0"/>
          <w:sz w:val="28"/>
          <w:szCs w:val="28"/>
        </w:rPr>
        <w:t>”</w:t>
      </w:r>
      <w:r>
        <w:rPr>
          <w:rFonts w:ascii="仿宋_GB2312" w:hAnsi="仿宋_GB2312" w:cs="仿宋_GB2312"/>
          <w:color w:val="auto"/>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hint="eastAsia" w:ascii="仿宋_GB2312" w:hAnsi="仿宋_GB2312" w:cs="仿宋_GB2312"/>
          <w:color w:val="auto"/>
          <w:kern w:val="0"/>
          <w:sz w:val="28"/>
          <w:szCs w:val="28"/>
        </w:rPr>
        <w:t>八</w:t>
      </w:r>
      <w:r>
        <w:rPr>
          <w:rFonts w:ascii="仿宋_GB2312" w:hAnsi="仿宋_GB2312" w:cs="仿宋_GB2312"/>
          <w:color w:val="auto"/>
          <w:kern w:val="0"/>
          <w:sz w:val="28"/>
          <w:szCs w:val="28"/>
        </w:rPr>
        <w:t>、</w:t>
      </w:r>
      <w:r>
        <w:rPr>
          <w:rFonts w:hint="eastAsia" w:ascii="仿宋_GB2312" w:hAnsi="仿宋_GB2312" w:cs="仿宋_GB2312"/>
          <w:color w:val="auto"/>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auto"/>
          <w:kern w:val="0"/>
          <w:sz w:val="28"/>
          <w:szCs w:val="28"/>
          <w:lang w:eastAsia="zh-CN"/>
        </w:rPr>
      </w:pPr>
      <w:r>
        <w:rPr>
          <w:rFonts w:hint="eastAsia" w:ascii="仿宋_GB2312" w:hAnsi="仿宋_GB2312" w:cs="仿宋_GB2312"/>
          <w:color w:val="auto"/>
          <w:kern w:val="0"/>
          <w:sz w:val="28"/>
          <w:szCs w:val="28"/>
        </w:rPr>
        <w:t>九</w:t>
      </w:r>
      <w:r>
        <w:rPr>
          <w:rFonts w:ascii="仿宋_GB2312" w:hAnsi="仿宋_GB2312" w:cs="仿宋_GB2312"/>
          <w:color w:val="auto"/>
          <w:kern w:val="0"/>
          <w:sz w:val="28"/>
          <w:szCs w:val="28"/>
        </w:rPr>
        <w:t>、</w:t>
      </w:r>
      <w:r>
        <w:rPr>
          <w:rFonts w:hint="eastAsia" w:cs="仿宋_GB2312" w:asciiTheme="minorEastAsia" w:hAnsiTheme="minorEastAsia" w:eastAsiaTheme="minorEastAsia"/>
          <w:color w:val="auto"/>
          <w:sz w:val="28"/>
          <w:szCs w:val="28"/>
        </w:rPr>
        <w:t>国有资本经营预算财政拨款支出决算</w:t>
      </w:r>
      <w:r>
        <w:rPr>
          <w:rFonts w:hint="eastAsia" w:cs="仿宋_GB2312" w:asciiTheme="minorEastAsia" w:hAnsiTheme="minorEastAsia"/>
          <w:color w:val="auto"/>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hint="eastAsia" w:ascii="仿宋_GB2312" w:hAnsi="仿宋_GB2312" w:cs="仿宋_GB2312"/>
          <w:color w:val="auto"/>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auto"/>
          <w:kern w:val="0"/>
          <w:sz w:val="28"/>
          <w:szCs w:val="28"/>
        </w:rPr>
      </w:pPr>
      <w:r>
        <w:rPr>
          <w:rFonts w:hint="eastAsia" w:ascii="仿宋_GB2312" w:hAnsi="仿宋_GB2312" w:cs="仿宋_GB2312"/>
          <w:color w:val="auto"/>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十二、</w:t>
      </w:r>
      <w:r>
        <w:rPr>
          <w:rFonts w:hint="eastAsia" w:ascii="仿宋_GB2312" w:hAnsi="仿宋_GB2312" w:cs="仿宋_GB2312"/>
          <w:color w:val="auto"/>
          <w:kern w:val="0"/>
          <w:sz w:val="28"/>
          <w:szCs w:val="28"/>
        </w:rPr>
        <w:t>政府采购支出说明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十三、国有资产占用情况说明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color w:val="auto"/>
          <w:sz w:val="28"/>
          <w:szCs w:val="28"/>
          <w:lang w:eastAsia="zh-CN"/>
        </w:rPr>
      </w:pPr>
      <w:r>
        <w:rPr>
          <w:rFonts w:hint="eastAsia" w:ascii="仿宋_GB2312" w:hAnsi="仿宋_GB2312" w:cs="仿宋_GB2312" w:eastAsiaTheme="minorEastAsia"/>
          <w:color w:val="auto"/>
          <w:sz w:val="28"/>
          <w:szCs w:val="28"/>
          <w:lang w:eastAsia="zh-CN"/>
        </w:rPr>
        <w:t>十四、</w:t>
      </w:r>
      <w:r>
        <w:rPr>
          <w:rFonts w:hint="eastAsia" w:cs="仿宋_GB2312" w:asciiTheme="minorEastAsia" w:hAnsiTheme="minorEastAsia" w:eastAsiaTheme="minorEastAsia"/>
          <w:color w:val="auto"/>
          <w:sz w:val="28"/>
          <w:szCs w:val="28"/>
        </w:rPr>
        <w:t>2021年</w:t>
      </w:r>
      <w:r>
        <w:rPr>
          <w:rFonts w:hint="eastAsia" w:ascii="仿宋_GB2312" w:hAnsi="仿宋_GB2312" w:cs="仿宋_GB2312" w:eastAsiaTheme="minorEastAsia"/>
          <w:color w:val="auto"/>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auto"/>
          <w:kern w:val="0"/>
          <w:sz w:val="28"/>
          <w:szCs w:val="28"/>
        </w:rPr>
      </w:pPr>
      <w:r>
        <w:rPr>
          <w:rFonts w:ascii="黑体" w:hAnsi="黑体" w:eastAsia="黑体" w:cs="黑体"/>
          <w:b/>
          <w:color w:val="auto"/>
          <w:kern w:val="0"/>
          <w:sz w:val="28"/>
          <w:szCs w:val="28"/>
        </w:rPr>
        <w:t>第四部分</w:t>
      </w:r>
      <w:r>
        <w:rPr>
          <w:rFonts w:hint="eastAsia" w:ascii="黑体" w:hAnsi="黑体" w:eastAsia="黑体" w:cs="黑体"/>
          <w:b/>
          <w:color w:val="auto"/>
          <w:kern w:val="0"/>
          <w:sz w:val="28"/>
          <w:szCs w:val="28"/>
          <w:lang w:val="en-US" w:eastAsia="zh-CN"/>
        </w:rPr>
        <w:t xml:space="preserve">  </w:t>
      </w:r>
      <w:r>
        <w:rPr>
          <w:rFonts w:ascii="黑体" w:hAnsi="黑体" w:eastAsia="黑体" w:cs="黑体"/>
          <w:b/>
          <w:color w:val="auto"/>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auto"/>
          <w:kern w:val="0"/>
          <w:sz w:val="28"/>
          <w:szCs w:val="28"/>
        </w:rPr>
      </w:pPr>
      <w:r>
        <w:rPr>
          <w:rFonts w:hint="eastAsia" w:ascii="黑体" w:hAnsi="黑体" w:eastAsia="黑体" w:cs="黑体"/>
          <w:b/>
          <w:color w:val="auto"/>
          <w:kern w:val="0"/>
          <w:sz w:val="28"/>
          <w:szCs w:val="28"/>
        </w:rPr>
        <w:t>第五部分</w:t>
      </w:r>
      <w:r>
        <w:rPr>
          <w:rFonts w:hint="eastAsia" w:ascii="黑体" w:hAnsi="黑体" w:eastAsia="黑体" w:cs="黑体"/>
          <w:b/>
          <w:color w:val="auto"/>
          <w:kern w:val="0"/>
          <w:sz w:val="28"/>
          <w:szCs w:val="28"/>
          <w:lang w:val="en-US" w:eastAsia="zh-CN"/>
        </w:rPr>
        <w:t xml:space="preserve">  </w:t>
      </w:r>
      <w:r>
        <w:rPr>
          <w:rFonts w:hint="eastAsia" w:ascii="黑体" w:hAnsi="黑体" w:eastAsia="黑体" w:cs="黑体"/>
          <w:b/>
          <w:color w:val="auto"/>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rPr>
          <w:color w:val="auto"/>
          <w:sz w:val="72"/>
          <w:szCs w:val="72"/>
        </w:rPr>
      </w:pPr>
    </w:p>
    <w:p>
      <w:pPr>
        <w:pStyle w:val="11"/>
        <w:jc w:val="center"/>
        <w:rPr>
          <w:color w:val="auto"/>
          <w:sz w:val="84"/>
          <w:szCs w:val="84"/>
        </w:rPr>
      </w:pPr>
      <w:r>
        <w:rPr>
          <w:rFonts w:hint="eastAsia"/>
          <w:color w:val="auto"/>
          <w:sz w:val="84"/>
          <w:szCs w:val="84"/>
        </w:rPr>
        <w:t>第一部分</w:t>
      </w:r>
      <w:r>
        <w:rPr>
          <w:color w:val="auto"/>
          <w:sz w:val="84"/>
          <w:szCs w:val="84"/>
        </w:rPr>
        <w:t xml:space="preserve"> </w:t>
      </w:r>
    </w:p>
    <w:p>
      <w:pPr>
        <w:pStyle w:val="11"/>
        <w:jc w:val="center"/>
        <w:rPr>
          <w:color w:val="auto"/>
          <w:sz w:val="84"/>
          <w:szCs w:val="84"/>
        </w:rPr>
      </w:pPr>
    </w:p>
    <w:p>
      <w:pPr>
        <w:pStyle w:val="11"/>
        <w:jc w:val="center"/>
        <w:rPr>
          <w:color w:val="auto"/>
          <w:sz w:val="84"/>
          <w:szCs w:val="84"/>
        </w:rPr>
      </w:pPr>
      <w:r>
        <w:rPr>
          <w:rFonts w:hint="eastAsia"/>
          <w:color w:val="auto"/>
          <w:sz w:val="84"/>
          <w:szCs w:val="84"/>
          <w:lang w:val="en-US" w:eastAsia="zh-CN"/>
        </w:rPr>
        <w:t>岳阳市市场监督管理局岳阳经济技术开发区分局</w:t>
      </w:r>
      <w:r>
        <w:rPr>
          <w:rFonts w:hint="eastAsia"/>
          <w:color w:val="auto"/>
          <w:sz w:val="84"/>
          <w:szCs w:val="84"/>
        </w:rPr>
        <w:t>概况</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pStyle w:val="12"/>
        <w:numPr>
          <w:ilvl w:val="0"/>
          <w:numId w:val="1"/>
        </w:numPr>
        <w:ind w:firstLineChars="0"/>
        <w:jc w:val="left"/>
        <w:rPr>
          <w:rFonts w:ascii="黑体" w:hAnsi="黑体" w:eastAsia="黑体"/>
          <w:color w:val="auto"/>
          <w:sz w:val="32"/>
          <w:szCs w:val="32"/>
        </w:rPr>
      </w:pPr>
      <w:r>
        <w:rPr>
          <w:rFonts w:ascii="黑体" w:hAnsi="黑体" w:eastAsia="黑体"/>
          <w:color w:val="auto"/>
          <w:sz w:val="32"/>
          <w:szCs w:val="32"/>
        </w:rPr>
        <w:t>部门职责</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负责市场综合监督管理和知识产权管理。</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负责市场主体统一登记注册。</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负责组织市场监管（含知识产权）综合执法工作。</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负责监督管理市场秩序。</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负责反垄断执法调查。</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负责促进知识产权运用和保护。</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负责统一管理标准化工作。</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负责宏观质量管理。</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负责产品质量安全监督管理。</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负责食品安全监督管理综合协调。</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负责食品安全监督管理。</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负责药品、医疗器械、化妆品质量监督管理。</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负责特种设备安全监督管理。</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负责统一管理计量工作。</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负责统一管理认证认可与检验检测工作。</w:t>
      </w:r>
    </w:p>
    <w:p>
      <w:pPr>
        <w:numPr>
          <w:ilvl w:val="0"/>
          <w:numId w:val="2"/>
        </w:numPr>
        <w:spacing w:beforeLines="0" w:afterLines="0" w:line="600" w:lineRule="exact"/>
        <w:ind w:left="-10" w:leftChars="0" w:firstLine="640" w:firstLineChars="0"/>
        <w:rPr>
          <w:rFonts w:hint="eastAsia" w:ascii="宋体" w:hAnsi="宋体" w:eastAsia="宋体" w:cs="宋体"/>
          <w:color w:val="auto"/>
          <w:sz w:val="32"/>
          <w:szCs w:val="24"/>
        </w:rPr>
      </w:pPr>
      <w:r>
        <w:rPr>
          <w:rFonts w:hint="eastAsia" w:ascii="宋体" w:hAnsi="宋体" w:eastAsia="宋体" w:cs="宋体"/>
          <w:color w:val="auto"/>
          <w:sz w:val="32"/>
          <w:szCs w:val="24"/>
        </w:rPr>
        <w:t>负责市场监督管理、知识产权领城科技和信息化建设、新闻宣传、交流与合作。</w:t>
      </w:r>
    </w:p>
    <w:p>
      <w:pPr>
        <w:numPr>
          <w:ilvl w:val="0"/>
          <w:numId w:val="2"/>
        </w:numPr>
        <w:spacing w:beforeLines="0" w:afterLines="0" w:line="600" w:lineRule="exact"/>
        <w:ind w:left="-10" w:leftChars="0" w:firstLine="640" w:firstLineChars="0"/>
        <w:rPr>
          <w:rFonts w:hint="eastAsia" w:ascii="宋体" w:hAnsi="宋体" w:eastAsia="宋体" w:cs="宋体"/>
          <w:color w:val="auto"/>
          <w:sz w:val="28"/>
          <w:szCs w:val="32"/>
        </w:rPr>
      </w:pPr>
      <w:r>
        <w:rPr>
          <w:rFonts w:hint="eastAsia" w:ascii="宋体" w:hAnsi="宋体" w:eastAsia="宋体" w:cs="宋体"/>
          <w:color w:val="auto"/>
          <w:sz w:val="32"/>
          <w:szCs w:val="24"/>
        </w:rPr>
        <w:t>完成市委、市政府和市市场监督管理局交办的其他任务。</w:t>
      </w:r>
    </w:p>
    <w:p>
      <w:pPr>
        <w:widowControl/>
        <w:spacing w:line="600" w:lineRule="exact"/>
        <w:rPr>
          <w:rFonts w:ascii="黑体" w:hAnsi="黑体" w:eastAsia="黑体"/>
          <w:bCs/>
          <w:color w:val="auto"/>
          <w:kern w:val="0"/>
          <w:sz w:val="32"/>
          <w:szCs w:val="32"/>
        </w:rPr>
      </w:pPr>
      <w:r>
        <w:rPr>
          <w:rFonts w:hint="eastAsia" w:ascii="黑体" w:hAnsi="黑体" w:eastAsia="黑体"/>
          <w:bCs/>
          <w:color w:val="auto"/>
          <w:kern w:val="0"/>
          <w:sz w:val="32"/>
          <w:szCs w:val="32"/>
        </w:rPr>
        <w:t>二、机构设置及决算单位构成</w:t>
      </w:r>
    </w:p>
    <w:p>
      <w:pPr>
        <w:spacing w:beforeLines="0" w:afterLines="0" w:line="600" w:lineRule="exact"/>
        <w:ind w:firstLine="640" w:firstLineChars="200"/>
        <w:jc w:val="left"/>
        <w:rPr>
          <w:rFonts w:hint="eastAsia" w:asciiTheme="minorEastAsia" w:hAnsiTheme="minorEastAsia"/>
          <w:bCs/>
          <w:color w:val="auto"/>
          <w:kern w:val="0"/>
          <w:sz w:val="32"/>
          <w:szCs w:val="32"/>
        </w:rPr>
      </w:pPr>
      <w:r>
        <w:rPr>
          <w:rFonts w:hint="eastAsia" w:asciiTheme="minorEastAsia" w:hAnsiTheme="minorEastAsia"/>
          <w:bCs/>
          <w:color w:val="auto"/>
          <w:kern w:val="0"/>
          <w:sz w:val="32"/>
          <w:szCs w:val="32"/>
        </w:rPr>
        <w:t>（一）内设机构设置。</w:t>
      </w:r>
    </w:p>
    <w:p>
      <w:pPr>
        <w:spacing w:beforeLines="0" w:afterLines="0" w:line="600" w:lineRule="exact"/>
        <w:ind w:firstLine="640" w:firstLineChars="200"/>
        <w:jc w:val="left"/>
        <w:rPr>
          <w:rFonts w:hint="eastAsia"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eastAsia="zh-CN"/>
        </w:rPr>
        <w:t>根据编委核定，我局下设</w:t>
      </w:r>
      <w:r>
        <w:rPr>
          <w:rFonts w:hint="eastAsia" w:asciiTheme="minorEastAsia" w:hAnsiTheme="minorEastAsia"/>
          <w:bCs/>
          <w:color w:val="auto"/>
          <w:kern w:val="0"/>
          <w:sz w:val="32"/>
          <w:szCs w:val="32"/>
          <w:lang w:val="en-US" w:eastAsia="zh-CN"/>
        </w:rPr>
        <w:t>17个</w:t>
      </w:r>
      <w:r>
        <w:rPr>
          <w:rFonts w:hint="eastAsia" w:asciiTheme="minorEastAsia" w:hAnsiTheme="minorEastAsia"/>
          <w:bCs/>
          <w:color w:val="auto"/>
          <w:kern w:val="0"/>
          <w:sz w:val="32"/>
          <w:szCs w:val="32"/>
          <w:lang w:eastAsia="zh-CN"/>
        </w:rPr>
        <w:t>内设机构，</w:t>
      </w:r>
      <w:r>
        <w:rPr>
          <w:rFonts w:hint="eastAsia" w:asciiTheme="minorEastAsia" w:hAnsiTheme="minorEastAsia"/>
          <w:bCs/>
          <w:color w:val="auto"/>
          <w:kern w:val="0"/>
          <w:sz w:val="32"/>
          <w:szCs w:val="32"/>
          <w:lang w:val="en-US" w:eastAsia="zh-CN"/>
        </w:rPr>
        <w:t>5个市场监督管理所。</w:t>
      </w:r>
    </w:p>
    <w:p>
      <w:pPr>
        <w:spacing w:beforeLines="0" w:afterLines="0" w:line="600" w:lineRule="exact"/>
        <w:ind w:firstLine="640" w:firstLineChars="200"/>
        <w:jc w:val="left"/>
        <w:rPr>
          <w:rFonts w:hint="eastAsia"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val="en-US" w:eastAsia="zh-CN"/>
        </w:rPr>
        <w:t>内设股室分别为：办公室（信息化办）、财务股、人事股、政策法规股、登记注册股（非公党建办公室）、信用监督管理股、反不正当竞争和价格监督管理股、市场规范管理股、消费者权益保护股（区消费者委员会办公室）、特种设备安全监察股、标准计量和质量发展监督管理股、食品安全监督管理股、餐饮食品安全监督管理股、药械保化监督管理股、网络监管和知识产权股、机关党委、工会和离退休管理服务股。</w:t>
      </w:r>
    </w:p>
    <w:p>
      <w:pPr>
        <w:widowControl/>
        <w:spacing w:line="600" w:lineRule="exact"/>
        <w:ind w:firstLine="640" w:firstLineChars="200"/>
        <w:rPr>
          <w:rFonts w:hint="eastAsia" w:asciiTheme="minorEastAsia" w:hAnsiTheme="minorEastAsia" w:eastAsiaTheme="minorEastAsia"/>
          <w:bCs/>
          <w:i/>
          <w:iCs/>
          <w:color w:val="auto"/>
          <w:kern w:val="0"/>
          <w:sz w:val="32"/>
          <w:szCs w:val="32"/>
          <w:lang w:eastAsia="zh-CN"/>
        </w:rPr>
      </w:pPr>
      <w:r>
        <w:rPr>
          <w:rFonts w:hint="eastAsia" w:asciiTheme="minorEastAsia" w:hAnsiTheme="minorEastAsia"/>
          <w:bCs/>
          <w:color w:val="auto"/>
          <w:kern w:val="0"/>
          <w:sz w:val="32"/>
          <w:szCs w:val="32"/>
          <w:lang w:val="en-US" w:eastAsia="zh-CN"/>
        </w:rPr>
        <w:t>市场监督管理所分别为：通海路市场监管所、金凤桥市场监管所、木里港市场监管所、康王市场监管所、西塘市场监管所。</w:t>
      </w:r>
    </w:p>
    <w:p>
      <w:pPr>
        <w:widowControl/>
        <w:spacing w:line="600" w:lineRule="exact"/>
        <w:ind w:firstLine="640" w:firstLineChars="200"/>
        <w:rPr>
          <w:rFonts w:ascii="仿宋_GB2312" w:eastAsia="仿宋_GB2312" w:hAnsiTheme="minorEastAsia"/>
          <w:color w:val="auto"/>
          <w:sz w:val="28"/>
          <w:szCs w:val="32"/>
        </w:rPr>
      </w:pPr>
      <w:r>
        <w:rPr>
          <w:rFonts w:hint="eastAsia" w:asciiTheme="minorEastAsia" w:hAnsiTheme="minorEastAsia"/>
          <w:bCs/>
          <w:color w:val="auto"/>
          <w:kern w:val="0"/>
          <w:sz w:val="32"/>
          <w:szCs w:val="32"/>
          <w:lang w:eastAsia="zh-CN"/>
        </w:rPr>
        <w:t>（</w:t>
      </w:r>
      <w:r>
        <w:rPr>
          <w:rFonts w:hint="eastAsia" w:asciiTheme="minorEastAsia" w:hAnsiTheme="minorEastAsia"/>
          <w:bCs/>
          <w:color w:val="auto"/>
          <w:kern w:val="0"/>
          <w:sz w:val="32"/>
          <w:szCs w:val="32"/>
          <w:lang w:val="en-US" w:eastAsia="zh-CN"/>
        </w:rPr>
        <w:t>二</w:t>
      </w:r>
      <w:r>
        <w:rPr>
          <w:rFonts w:hint="eastAsia" w:asciiTheme="minorEastAsia" w:hAnsiTheme="minorEastAsia"/>
          <w:bCs/>
          <w:color w:val="auto"/>
          <w:kern w:val="0"/>
          <w:sz w:val="32"/>
          <w:szCs w:val="32"/>
          <w:lang w:eastAsia="zh-CN"/>
        </w:rPr>
        <w:t>）</w:t>
      </w:r>
      <w:r>
        <w:rPr>
          <w:rFonts w:hint="eastAsia" w:asciiTheme="minorEastAsia" w:hAnsiTheme="minorEastAsia"/>
          <w:bCs/>
          <w:color w:val="auto"/>
          <w:kern w:val="0"/>
          <w:sz w:val="32"/>
          <w:szCs w:val="32"/>
        </w:rPr>
        <w:t>决算单位构成。岳阳市市场监督管理局岳阳经济技术开发区分局</w:t>
      </w:r>
      <w:r>
        <w:rPr>
          <w:rFonts w:asciiTheme="minorEastAsia" w:hAnsiTheme="minorEastAsia"/>
          <w:bCs/>
          <w:color w:val="auto"/>
          <w:kern w:val="0"/>
          <w:sz w:val="32"/>
          <w:szCs w:val="32"/>
        </w:rPr>
        <w:t>20</w:t>
      </w:r>
      <w:r>
        <w:rPr>
          <w:rFonts w:hint="eastAsia" w:asciiTheme="minorEastAsia" w:hAnsiTheme="minorEastAsia"/>
          <w:bCs/>
          <w:color w:val="auto"/>
          <w:kern w:val="0"/>
          <w:sz w:val="32"/>
          <w:szCs w:val="32"/>
        </w:rPr>
        <w:t>2</w:t>
      </w:r>
      <w:r>
        <w:rPr>
          <w:rFonts w:hint="eastAsia" w:asciiTheme="minorEastAsia" w:hAnsiTheme="minorEastAsia"/>
          <w:bCs/>
          <w:color w:val="auto"/>
          <w:kern w:val="0"/>
          <w:sz w:val="32"/>
          <w:szCs w:val="32"/>
          <w:lang w:val="en-US" w:eastAsia="zh-CN"/>
        </w:rPr>
        <w:t>1</w:t>
      </w:r>
      <w:r>
        <w:rPr>
          <w:rFonts w:hint="eastAsia" w:asciiTheme="minorEastAsia" w:hAnsiTheme="minorEastAsia"/>
          <w:bCs/>
          <w:color w:val="auto"/>
          <w:kern w:val="0"/>
          <w:sz w:val="32"/>
          <w:szCs w:val="32"/>
        </w:rPr>
        <w:t>年部门决算汇总公开单位构成包括：岳阳市市场监督管理局岳阳经济技术开发区分局本级</w:t>
      </w:r>
      <w:r>
        <w:rPr>
          <w:rFonts w:hint="eastAsia" w:asciiTheme="minorEastAsia" w:hAnsiTheme="minorEastAsia"/>
          <w:bCs/>
          <w:color w:val="auto"/>
          <w:kern w:val="0"/>
          <w:sz w:val="32"/>
          <w:szCs w:val="32"/>
          <w:lang w:eastAsia="zh-CN"/>
        </w:rPr>
        <w:t>。</w:t>
      </w: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r>
        <w:rPr>
          <w:rFonts w:hint="eastAsia"/>
          <w:color w:val="auto"/>
          <w:sz w:val="72"/>
          <w:szCs w:val="72"/>
        </w:rPr>
        <w:t>第二部分</w:t>
      </w:r>
    </w:p>
    <w:p>
      <w:pPr>
        <w:jc w:val="center"/>
        <w:rPr>
          <w:color w:val="auto"/>
          <w:sz w:val="72"/>
          <w:szCs w:val="72"/>
        </w:rPr>
      </w:pPr>
    </w:p>
    <w:p>
      <w:pPr>
        <w:jc w:val="center"/>
        <w:rPr>
          <w:rFonts w:hint="eastAsia"/>
          <w:color w:val="auto"/>
          <w:sz w:val="72"/>
          <w:szCs w:val="72"/>
        </w:rPr>
      </w:pPr>
      <w:r>
        <w:rPr>
          <w:rFonts w:hint="eastAsia"/>
          <w:color w:val="auto"/>
          <w:sz w:val="72"/>
          <w:szCs w:val="72"/>
        </w:rPr>
        <w:t>部门决算表</w:t>
      </w:r>
    </w:p>
    <w:p>
      <w:pPr>
        <w:jc w:val="center"/>
        <w:rPr>
          <w:rFonts w:hint="eastAsia" w:eastAsiaTheme="minorEastAsia"/>
          <w:color w:val="auto"/>
          <w:sz w:val="72"/>
          <w:szCs w:val="72"/>
          <w:lang w:eastAsia="zh-CN"/>
        </w:rPr>
      </w:pPr>
      <w:r>
        <w:rPr>
          <w:rFonts w:hint="eastAsia"/>
          <w:color w:val="auto"/>
          <w:sz w:val="72"/>
          <w:szCs w:val="72"/>
          <w:lang w:eastAsia="zh-CN"/>
        </w:rPr>
        <w:t>（见附件）</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left"/>
        <w:rPr>
          <w:rFonts w:asciiTheme="minorEastAsia" w:hAnsiTheme="minorEastAsia"/>
          <w:color w:val="auto"/>
          <w:sz w:val="32"/>
          <w:szCs w:val="32"/>
        </w:rPr>
        <w:sectPr>
          <w:pgSz w:w="11906" w:h="16838"/>
          <w:pgMar w:top="720" w:right="720" w:bottom="720" w:left="720" w:header="851" w:footer="992" w:gutter="0"/>
          <w:cols w:space="425" w:num="1"/>
          <w:docGrid w:type="lines" w:linePitch="312" w:charSpace="0"/>
        </w:sectPr>
      </w:pPr>
    </w:p>
    <w:p>
      <w:pPr>
        <w:pStyle w:val="11"/>
        <w:jc w:val="both"/>
        <w:rPr>
          <w:color w:val="auto"/>
          <w:sz w:val="72"/>
          <w:szCs w:val="72"/>
        </w:rPr>
      </w:pPr>
    </w:p>
    <w:p>
      <w:pPr>
        <w:pStyle w:val="11"/>
        <w:jc w:val="center"/>
        <w:rPr>
          <w:color w:val="auto"/>
          <w:sz w:val="72"/>
          <w:szCs w:val="72"/>
        </w:rPr>
      </w:pPr>
    </w:p>
    <w:p>
      <w:pPr>
        <w:pStyle w:val="11"/>
        <w:jc w:val="center"/>
        <w:rPr>
          <w:color w:val="auto"/>
          <w:sz w:val="72"/>
          <w:szCs w:val="72"/>
        </w:rPr>
      </w:pPr>
      <w:r>
        <w:rPr>
          <w:rFonts w:hint="eastAsia"/>
          <w:color w:val="auto"/>
          <w:sz w:val="72"/>
          <w:szCs w:val="72"/>
        </w:rPr>
        <w:t>第三部分</w:t>
      </w:r>
    </w:p>
    <w:p>
      <w:pPr>
        <w:pStyle w:val="11"/>
        <w:jc w:val="center"/>
        <w:rPr>
          <w:color w:val="auto"/>
          <w:sz w:val="70"/>
          <w:szCs w:val="70"/>
        </w:rPr>
      </w:pPr>
    </w:p>
    <w:p>
      <w:pPr>
        <w:pStyle w:val="11"/>
        <w:jc w:val="center"/>
        <w:rPr>
          <w:color w:val="auto"/>
          <w:sz w:val="70"/>
          <w:szCs w:val="70"/>
        </w:rPr>
      </w:pPr>
      <w:r>
        <w:rPr>
          <w:color w:val="auto"/>
          <w:sz w:val="70"/>
          <w:szCs w:val="70"/>
        </w:rPr>
        <w:t>20</w:t>
      </w:r>
      <w:r>
        <w:rPr>
          <w:rFonts w:hint="eastAsia"/>
          <w:color w:val="auto"/>
          <w:sz w:val="70"/>
          <w:szCs w:val="70"/>
        </w:rPr>
        <w:t>21年度部门决算情况说明</w:t>
      </w:r>
    </w:p>
    <w:p>
      <w:pPr>
        <w:widowControl/>
        <w:jc w:val="left"/>
        <w:rPr>
          <w:rFonts w:ascii="黑体" w:eastAsia="黑体" w:cs="黑体"/>
          <w:color w:val="auto"/>
          <w:kern w:val="0"/>
          <w:sz w:val="70"/>
          <w:szCs w:val="70"/>
        </w:rPr>
      </w:pPr>
      <w:r>
        <w:rPr>
          <w:color w:val="auto"/>
          <w:sz w:val="70"/>
          <w:szCs w:val="70"/>
        </w:rPr>
        <w:br w:type="page"/>
      </w:r>
    </w:p>
    <w:p>
      <w:pPr>
        <w:pStyle w:val="11"/>
        <w:rPr>
          <w:rFonts w:asciiTheme="minorEastAsia" w:hAnsiTheme="minorEastAsia" w:eastAsiaTheme="minorEastAsia"/>
          <w:color w:val="auto"/>
          <w:sz w:val="32"/>
          <w:szCs w:val="32"/>
        </w:rPr>
      </w:pPr>
    </w:p>
    <w:p>
      <w:pPr>
        <w:pStyle w:val="11"/>
        <w:rPr>
          <w:rFonts w:hAnsi="黑体"/>
          <w:b/>
          <w:color w:val="auto"/>
          <w:sz w:val="32"/>
          <w:szCs w:val="32"/>
        </w:rPr>
      </w:pPr>
      <w:r>
        <w:rPr>
          <w:rFonts w:hint="eastAsia" w:hAnsi="黑体"/>
          <w:b/>
          <w:color w:val="auto"/>
          <w:sz w:val="32"/>
          <w:szCs w:val="32"/>
        </w:rPr>
        <w:t>一、收入支出决算总体情况说明</w:t>
      </w:r>
    </w:p>
    <w:p>
      <w:pPr>
        <w:pStyle w:val="11"/>
        <w:ind w:firstLine="640"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2021年度收、支总计</w:t>
      </w:r>
      <w:r>
        <w:rPr>
          <w:rFonts w:hint="eastAsia" w:asciiTheme="minorEastAsia" w:hAnsiTheme="minorEastAsia" w:eastAsiaTheme="minorEastAsia"/>
          <w:color w:val="auto"/>
          <w:sz w:val="32"/>
          <w:szCs w:val="32"/>
          <w:lang w:val="en-US" w:eastAsia="zh-CN"/>
        </w:rPr>
        <w:t>2464.92</w:t>
      </w:r>
      <w:r>
        <w:rPr>
          <w:rFonts w:hint="eastAsia" w:asciiTheme="minorEastAsia" w:hAnsiTheme="minorEastAsia" w:eastAsiaTheme="minorEastAsia"/>
          <w:color w:val="auto"/>
          <w:sz w:val="32"/>
          <w:szCs w:val="32"/>
        </w:rPr>
        <w:t>万元。与上年相比，增加</w:t>
      </w:r>
      <w:r>
        <w:rPr>
          <w:rFonts w:hint="eastAsia" w:asciiTheme="minorEastAsia" w:hAnsiTheme="minorEastAsia" w:eastAsiaTheme="minorEastAsia"/>
          <w:color w:val="auto"/>
          <w:sz w:val="32"/>
          <w:szCs w:val="32"/>
          <w:lang w:val="en-US" w:eastAsia="zh-CN"/>
        </w:rPr>
        <w:t>2.88</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0.12</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val="en-US" w:eastAsia="zh-CN"/>
        </w:rPr>
        <w:t>2021年在职103人，比上年在职增长5人，一般公共预算财政拨款人员及公用经费收、支比上年有所增长，其他资金收、支较上年有所减少。</w:t>
      </w:r>
    </w:p>
    <w:p>
      <w:pPr>
        <w:pStyle w:val="11"/>
        <w:rPr>
          <w:rFonts w:hAnsi="黑体"/>
          <w:b/>
          <w:color w:val="auto"/>
          <w:sz w:val="32"/>
          <w:szCs w:val="32"/>
        </w:rPr>
      </w:pPr>
      <w:r>
        <w:rPr>
          <w:rFonts w:hint="eastAsia" w:hAnsi="黑体"/>
          <w:b/>
          <w:color w:val="auto"/>
          <w:sz w:val="32"/>
          <w:szCs w:val="32"/>
        </w:rPr>
        <w:t>二、收入决算情况说明</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w:t>
      </w:r>
      <w:r>
        <w:rPr>
          <w:rFonts w:hint="eastAsia" w:asciiTheme="minorEastAsia" w:hAnsiTheme="minorEastAsia" w:eastAsiaTheme="minorEastAsia"/>
          <w:color w:val="auto"/>
          <w:sz w:val="32"/>
          <w:szCs w:val="32"/>
          <w:lang w:val="en-US" w:eastAsia="zh-CN"/>
        </w:rPr>
        <w:t>2303.63</w:t>
      </w:r>
      <w:r>
        <w:rPr>
          <w:rFonts w:hint="eastAsia" w:asciiTheme="minorEastAsia" w:hAnsiTheme="minorEastAsia" w:eastAsiaTheme="minorEastAsia"/>
          <w:color w:val="auto"/>
          <w:sz w:val="32"/>
          <w:szCs w:val="32"/>
        </w:rPr>
        <w:t>万元，其中：财政拨款收入</w:t>
      </w:r>
      <w:r>
        <w:rPr>
          <w:rFonts w:hint="eastAsia" w:asciiTheme="minorEastAsia" w:hAnsiTheme="minorEastAsia" w:eastAsiaTheme="minorEastAsia"/>
          <w:color w:val="auto"/>
          <w:sz w:val="32"/>
          <w:szCs w:val="32"/>
          <w:lang w:val="en-US" w:eastAsia="zh-CN"/>
        </w:rPr>
        <w:t>1707.43</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74.12</w:t>
      </w:r>
      <w:r>
        <w:rPr>
          <w:rFonts w:hint="eastAsia" w:asciiTheme="minorEastAsia" w:hAnsiTheme="minorEastAsia" w:eastAsiaTheme="minorEastAsia"/>
          <w:color w:val="auto"/>
          <w:sz w:val="32"/>
          <w:szCs w:val="32"/>
        </w:rPr>
        <w:t>%；其他收入</w:t>
      </w:r>
      <w:r>
        <w:rPr>
          <w:rFonts w:hint="eastAsia" w:asciiTheme="minorEastAsia" w:hAnsiTheme="minorEastAsia" w:eastAsiaTheme="minorEastAsia"/>
          <w:color w:val="auto"/>
          <w:sz w:val="32"/>
          <w:szCs w:val="32"/>
          <w:lang w:val="en-US" w:eastAsia="zh-CN"/>
        </w:rPr>
        <w:t>596.2</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25.88</w:t>
      </w:r>
      <w:r>
        <w:rPr>
          <w:rFonts w:hint="eastAsia" w:asciiTheme="minorEastAsia" w:hAnsiTheme="minorEastAsia" w:eastAsiaTheme="minorEastAsia"/>
          <w:color w:val="auto"/>
          <w:sz w:val="32"/>
          <w:szCs w:val="32"/>
        </w:rPr>
        <w:t>%。</w:t>
      </w:r>
    </w:p>
    <w:p>
      <w:pPr>
        <w:pStyle w:val="11"/>
        <w:rPr>
          <w:rFonts w:hAnsi="黑体"/>
          <w:b/>
          <w:color w:val="auto"/>
          <w:sz w:val="32"/>
          <w:szCs w:val="32"/>
        </w:rPr>
      </w:pPr>
      <w:r>
        <w:rPr>
          <w:rFonts w:hint="eastAsia" w:hAnsi="黑体"/>
          <w:b/>
          <w:color w:val="auto"/>
          <w:sz w:val="32"/>
          <w:szCs w:val="32"/>
        </w:rPr>
        <w:t>三、支出决算情况说明</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2021年度支出合计</w:t>
      </w:r>
      <w:r>
        <w:rPr>
          <w:rFonts w:hint="eastAsia" w:asciiTheme="minorEastAsia" w:hAnsiTheme="minorEastAsia" w:eastAsiaTheme="minorEastAsia"/>
          <w:color w:val="auto"/>
          <w:sz w:val="32"/>
          <w:szCs w:val="32"/>
          <w:lang w:val="en-US" w:eastAsia="zh-CN"/>
        </w:rPr>
        <w:t>2084.74</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val="en-US" w:eastAsia="zh-CN"/>
        </w:rPr>
        <w:t>1659.66</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79.61</w:t>
      </w:r>
      <w:r>
        <w:rPr>
          <w:rFonts w:hint="eastAsia" w:asciiTheme="minorEastAsia" w:hAnsiTheme="minorEastAsia" w:eastAsiaTheme="minorEastAsia"/>
          <w:color w:val="auto"/>
          <w:sz w:val="32"/>
          <w:szCs w:val="32"/>
        </w:rPr>
        <w:t>%；项目支出</w:t>
      </w:r>
      <w:r>
        <w:rPr>
          <w:rFonts w:hint="eastAsia" w:asciiTheme="minorEastAsia" w:hAnsiTheme="minorEastAsia" w:eastAsiaTheme="minorEastAsia"/>
          <w:color w:val="auto"/>
          <w:sz w:val="32"/>
          <w:szCs w:val="32"/>
          <w:lang w:val="en-US" w:eastAsia="zh-CN"/>
        </w:rPr>
        <w:t>425.08</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20.39</w:t>
      </w:r>
      <w:r>
        <w:rPr>
          <w:rFonts w:hint="eastAsia" w:asciiTheme="minorEastAsia" w:hAnsiTheme="minorEastAsia" w:eastAsiaTheme="minorEastAsia"/>
          <w:color w:val="auto"/>
          <w:sz w:val="32"/>
          <w:szCs w:val="32"/>
        </w:rPr>
        <w:t>%。</w:t>
      </w:r>
    </w:p>
    <w:p>
      <w:pPr>
        <w:pStyle w:val="11"/>
        <w:rPr>
          <w:rFonts w:hAnsi="黑体"/>
          <w:b/>
          <w:color w:val="auto"/>
          <w:sz w:val="32"/>
          <w:szCs w:val="32"/>
        </w:rPr>
      </w:pPr>
      <w:r>
        <w:rPr>
          <w:rFonts w:hint="eastAsia" w:hAnsi="黑体"/>
          <w:b/>
          <w:color w:val="auto"/>
          <w:sz w:val="32"/>
          <w:szCs w:val="32"/>
        </w:rPr>
        <w:t>四、财政拨款收入支出决算总体情况说明</w:t>
      </w:r>
    </w:p>
    <w:p>
      <w:pPr>
        <w:pStyle w:val="11"/>
        <w:ind w:firstLine="640" w:firstLineChars="200"/>
        <w:rPr>
          <w:rFonts w:asciiTheme="minorEastAsia" w:hAnsiTheme="minorEastAsia" w:eastAsiaTheme="minorEastAsia"/>
          <w:i/>
          <w:iCs/>
          <w:color w:val="auto"/>
          <w:sz w:val="32"/>
          <w:szCs w:val="32"/>
        </w:rPr>
      </w:pPr>
      <w:r>
        <w:rPr>
          <w:rFonts w:hint="eastAsia" w:asciiTheme="minorEastAsia" w:hAnsiTheme="minorEastAsia" w:eastAsiaTheme="minorEastAsia"/>
          <w:color w:val="auto"/>
          <w:sz w:val="32"/>
          <w:szCs w:val="32"/>
        </w:rPr>
        <w:t>2021年度财政拨款收、支总计</w:t>
      </w:r>
      <w:r>
        <w:rPr>
          <w:rFonts w:hint="eastAsia" w:asciiTheme="minorEastAsia" w:hAnsiTheme="minorEastAsia" w:eastAsiaTheme="minorEastAsia"/>
          <w:color w:val="auto"/>
          <w:sz w:val="32"/>
          <w:szCs w:val="32"/>
          <w:lang w:val="en-US" w:eastAsia="zh-CN"/>
        </w:rPr>
        <w:t>1707.43</w:t>
      </w:r>
      <w:r>
        <w:rPr>
          <w:rFonts w:hint="eastAsia" w:asciiTheme="minorEastAsia" w:hAnsiTheme="minorEastAsia" w:eastAsiaTheme="minorEastAsia"/>
          <w:color w:val="auto"/>
          <w:sz w:val="32"/>
          <w:szCs w:val="32"/>
        </w:rPr>
        <w:t>万元，与上年相比，增加</w:t>
      </w:r>
      <w:r>
        <w:rPr>
          <w:rFonts w:hint="eastAsia" w:asciiTheme="minorEastAsia" w:hAnsiTheme="minorEastAsia" w:eastAsiaTheme="minorEastAsia"/>
          <w:color w:val="auto"/>
          <w:sz w:val="32"/>
          <w:szCs w:val="32"/>
          <w:lang w:val="en-US" w:eastAsia="zh-CN"/>
        </w:rPr>
        <w:t>22</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1.31</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val="en-US" w:eastAsia="zh-CN"/>
        </w:rPr>
        <w:t>2021年在职103人，比上年在职增长5人，一般公共预算财政拨款人员及公用经费收、支比上年有所增长。</w:t>
      </w:r>
    </w:p>
    <w:p>
      <w:pPr>
        <w:pStyle w:val="11"/>
        <w:rPr>
          <w:rFonts w:hAnsi="黑体"/>
          <w:b/>
          <w:color w:val="auto"/>
          <w:sz w:val="32"/>
          <w:szCs w:val="32"/>
        </w:rPr>
      </w:pPr>
      <w:r>
        <w:rPr>
          <w:rFonts w:hint="eastAsia" w:hAnsi="黑体"/>
          <w:b/>
          <w:color w:val="auto"/>
          <w:sz w:val="32"/>
          <w:szCs w:val="32"/>
        </w:rPr>
        <w:t>五、一般公共预算财政拨款支出决算情况说明</w:t>
      </w:r>
    </w:p>
    <w:p>
      <w:pPr>
        <w:pStyle w:val="11"/>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11"/>
        <w:ind w:firstLine="800" w:firstLineChars="250"/>
        <w:rPr>
          <w:rFonts w:asciiTheme="minorEastAsia" w:hAnsiTheme="minorEastAsia" w:eastAsiaTheme="minorEastAsia"/>
          <w:i/>
          <w:iCs/>
          <w:color w:val="auto"/>
          <w:sz w:val="32"/>
          <w:szCs w:val="32"/>
        </w:rPr>
      </w:pPr>
      <w:r>
        <w:rPr>
          <w:rFonts w:hint="eastAsia" w:asciiTheme="minorEastAsia" w:hAnsiTheme="minorEastAsia" w:eastAsiaTheme="minorEastAsia"/>
          <w:color w:val="auto"/>
          <w:sz w:val="32"/>
          <w:szCs w:val="32"/>
        </w:rPr>
        <w:t>2021年度财政拨款支出</w:t>
      </w:r>
      <w:r>
        <w:rPr>
          <w:rFonts w:hint="eastAsia" w:asciiTheme="minorEastAsia" w:hAnsiTheme="minorEastAsia" w:eastAsiaTheme="minorEastAsia"/>
          <w:color w:val="auto"/>
          <w:sz w:val="32"/>
          <w:szCs w:val="32"/>
          <w:lang w:val="en-US" w:eastAsia="zh-CN"/>
        </w:rPr>
        <w:t>1707.43</w:t>
      </w:r>
      <w:r>
        <w:rPr>
          <w:rFonts w:hint="eastAsia" w:asciiTheme="minorEastAsia" w:hAnsiTheme="minorEastAsia" w:eastAsiaTheme="minorEastAsia"/>
          <w:color w:val="auto"/>
          <w:sz w:val="32"/>
          <w:szCs w:val="32"/>
        </w:rPr>
        <w:t>万元，占本年支出合计的</w:t>
      </w:r>
      <w:r>
        <w:rPr>
          <w:rFonts w:hint="eastAsia" w:asciiTheme="minorEastAsia" w:hAnsiTheme="minorEastAsia" w:eastAsiaTheme="minorEastAsia"/>
          <w:color w:val="auto"/>
          <w:sz w:val="32"/>
          <w:szCs w:val="32"/>
          <w:lang w:val="en-US" w:eastAsia="zh-CN"/>
        </w:rPr>
        <w:t>81.9</w:t>
      </w:r>
      <w:r>
        <w:rPr>
          <w:rFonts w:hint="eastAsia" w:asciiTheme="minorEastAsia" w:hAnsiTheme="minorEastAsia" w:eastAsiaTheme="minorEastAsia"/>
          <w:color w:val="auto"/>
          <w:sz w:val="32"/>
          <w:szCs w:val="32"/>
        </w:rPr>
        <w:t>%，与上年相比，财政拨款支出增加</w:t>
      </w:r>
      <w:r>
        <w:rPr>
          <w:rFonts w:hint="eastAsia" w:asciiTheme="minorEastAsia" w:hAnsiTheme="minorEastAsia" w:eastAsiaTheme="minorEastAsia"/>
          <w:color w:val="auto"/>
          <w:sz w:val="32"/>
          <w:szCs w:val="32"/>
          <w:lang w:val="en-US" w:eastAsia="zh-CN"/>
        </w:rPr>
        <w:t>14.23</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0.84</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val="en-US" w:eastAsia="zh-CN"/>
        </w:rPr>
        <w:t>2021年在职103人，比上年在职增长5人，一般公共预算财政拨款人员及公用经费支出比上年有所增长。</w:t>
      </w:r>
    </w:p>
    <w:p>
      <w:pPr>
        <w:pStyle w:val="11"/>
        <w:ind w:firstLine="480" w:firstLineChars="1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11"/>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2021年度财政拨款支出</w:t>
      </w:r>
      <w:r>
        <w:rPr>
          <w:rFonts w:hint="eastAsia" w:asciiTheme="minorEastAsia" w:hAnsiTheme="minorEastAsia" w:eastAsiaTheme="minorEastAsia"/>
          <w:color w:val="auto"/>
          <w:sz w:val="32"/>
          <w:szCs w:val="32"/>
          <w:lang w:val="en-US" w:eastAsia="zh-CN"/>
        </w:rPr>
        <w:t>1707.43</w:t>
      </w:r>
      <w:r>
        <w:rPr>
          <w:rFonts w:hint="eastAsia" w:asciiTheme="minorEastAsia" w:hAnsiTheme="minorEastAsia" w:eastAsiaTheme="minorEastAsia"/>
          <w:color w:val="auto"/>
          <w:sz w:val="32"/>
          <w:szCs w:val="32"/>
        </w:rPr>
        <w:t>万元，主要用于以下方面：一般公共服务（类）支出</w:t>
      </w:r>
      <w:r>
        <w:rPr>
          <w:rFonts w:hint="eastAsia" w:asciiTheme="minorEastAsia" w:hAnsiTheme="minorEastAsia" w:eastAsiaTheme="minorEastAsia"/>
          <w:color w:val="auto"/>
          <w:sz w:val="32"/>
          <w:szCs w:val="32"/>
          <w:lang w:val="en-US" w:eastAsia="zh-CN"/>
        </w:rPr>
        <w:t>1537.07</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90.02</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社会保障和就业（类）支出</w:t>
      </w:r>
      <w:r>
        <w:rPr>
          <w:rFonts w:hint="eastAsia" w:asciiTheme="minorEastAsia" w:hAnsiTheme="minorEastAsia" w:eastAsiaTheme="minorEastAsia"/>
          <w:color w:val="auto"/>
          <w:sz w:val="32"/>
          <w:szCs w:val="32"/>
          <w:lang w:val="en-US" w:eastAsia="zh-CN"/>
        </w:rPr>
        <w:t>121.1</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7.09</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卫生健康支出（类）支出</w:t>
      </w:r>
      <w:r>
        <w:rPr>
          <w:rFonts w:hint="eastAsia" w:asciiTheme="minorEastAsia" w:hAnsiTheme="minorEastAsia" w:eastAsiaTheme="minorEastAsia"/>
          <w:color w:val="auto"/>
          <w:sz w:val="32"/>
          <w:szCs w:val="32"/>
          <w:lang w:val="en-US" w:eastAsia="zh-CN"/>
        </w:rPr>
        <w:t>49.26</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2.89</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p>
    <w:p>
      <w:pPr>
        <w:pStyle w:val="11"/>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2021年度财政拨款支出年初预算数为</w:t>
      </w:r>
      <w:r>
        <w:rPr>
          <w:rFonts w:hint="eastAsia" w:asciiTheme="minorEastAsia" w:hAnsiTheme="minorEastAsia" w:eastAsiaTheme="minorEastAsia"/>
          <w:color w:val="auto"/>
          <w:sz w:val="32"/>
          <w:szCs w:val="32"/>
          <w:lang w:val="en-US" w:eastAsia="zh-CN"/>
        </w:rPr>
        <w:t>1146.15</w:t>
      </w:r>
      <w:r>
        <w:rPr>
          <w:rFonts w:hint="eastAsia" w:asciiTheme="minorEastAsia" w:hAnsiTheme="minorEastAsia" w:eastAsiaTheme="minorEastAsia"/>
          <w:color w:val="auto"/>
          <w:sz w:val="32"/>
          <w:szCs w:val="32"/>
        </w:rPr>
        <w:t>万元，支出决算数为</w:t>
      </w:r>
      <w:r>
        <w:rPr>
          <w:rFonts w:hint="eastAsia" w:asciiTheme="minorEastAsia" w:hAnsiTheme="minorEastAsia" w:eastAsiaTheme="minorEastAsia"/>
          <w:color w:val="auto"/>
          <w:sz w:val="32"/>
          <w:szCs w:val="32"/>
          <w:lang w:val="en-US" w:eastAsia="zh-CN"/>
        </w:rPr>
        <w:t>1707.43</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148.97</w:t>
      </w:r>
      <w:r>
        <w:rPr>
          <w:rFonts w:hint="eastAsia" w:asciiTheme="minorEastAsia" w:hAnsiTheme="minorEastAsia" w:eastAsiaTheme="minorEastAsia"/>
          <w:color w:val="auto"/>
          <w:sz w:val="32"/>
          <w:szCs w:val="32"/>
        </w:rPr>
        <w:t>%，其中：</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行政运行</w:t>
      </w:r>
      <w:r>
        <w:rPr>
          <w:rFonts w:hint="eastAsia" w:asciiTheme="minorEastAsia" w:hAnsiTheme="minorEastAsia" w:eastAsiaTheme="minorEastAsia"/>
          <w:color w:val="auto"/>
          <w:sz w:val="32"/>
          <w:szCs w:val="32"/>
        </w:rPr>
        <w:t>（项）。</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884.06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1137.11</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128.62</w:t>
      </w:r>
      <w:r>
        <w:rPr>
          <w:rFonts w:hint="eastAsia" w:asciiTheme="minorEastAsia" w:hAnsiTheme="minorEastAsia" w:eastAsiaTheme="minorEastAsia"/>
          <w:color w:val="auto"/>
          <w:sz w:val="32"/>
          <w:szCs w:val="32"/>
        </w:rPr>
        <w:t>%，决算数大于年初预算数的主要原因是：追加了</w:t>
      </w:r>
      <w:r>
        <w:rPr>
          <w:rFonts w:hint="eastAsia" w:asciiTheme="minorEastAsia" w:hAnsiTheme="minorEastAsia" w:eastAsiaTheme="minorEastAsia"/>
          <w:color w:val="auto"/>
          <w:sz w:val="32"/>
          <w:szCs w:val="32"/>
          <w:lang w:eastAsia="zh-CN"/>
        </w:rPr>
        <w:t>工作</w:t>
      </w:r>
      <w:r>
        <w:rPr>
          <w:rFonts w:hint="eastAsia" w:asciiTheme="minorEastAsia" w:hAnsiTheme="minorEastAsia" w:eastAsiaTheme="minorEastAsia"/>
          <w:color w:val="auto"/>
          <w:sz w:val="32"/>
          <w:szCs w:val="32"/>
        </w:rPr>
        <w:t>人员的</w:t>
      </w:r>
      <w:r>
        <w:rPr>
          <w:rFonts w:hint="eastAsia" w:asciiTheme="minorEastAsia" w:hAnsiTheme="minorEastAsia" w:eastAsiaTheme="minorEastAsia"/>
          <w:color w:val="auto"/>
          <w:sz w:val="32"/>
          <w:szCs w:val="32"/>
          <w:lang w:val="en-US" w:eastAsia="zh-CN"/>
        </w:rPr>
        <w:t>2020年综合绩效考评奖励</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平安建设工作考评奖励</w:t>
      </w:r>
      <w:r>
        <w:rPr>
          <w:rFonts w:hint="eastAsia" w:asciiTheme="minorEastAsia" w:hAnsiTheme="minorEastAsia" w:eastAsiaTheme="minorEastAsia"/>
          <w:color w:val="auto"/>
          <w:sz w:val="32"/>
          <w:szCs w:val="32"/>
        </w:rPr>
        <w:t>、第13月工资</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物业补贴</w:t>
      </w:r>
      <w:r>
        <w:rPr>
          <w:rFonts w:hint="eastAsia" w:asciiTheme="minorEastAsia" w:hAnsiTheme="minorEastAsia" w:eastAsiaTheme="minorEastAsia"/>
          <w:color w:val="auto"/>
          <w:sz w:val="32"/>
          <w:szCs w:val="32"/>
        </w:rPr>
        <w:t>等</w:t>
      </w:r>
      <w:r>
        <w:rPr>
          <w:rFonts w:hint="eastAsia" w:asciiTheme="minorEastAsia" w:hAnsiTheme="minorEastAsia" w:eastAsiaTheme="minorEastAsia"/>
          <w:color w:val="auto"/>
          <w:sz w:val="32"/>
          <w:szCs w:val="32"/>
          <w:lang w:eastAsia="zh-CN"/>
        </w:rPr>
        <w:t>。</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2、一般公共服务（类）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一般行政管理事务</w:t>
      </w:r>
      <w:r>
        <w:rPr>
          <w:rFonts w:hint="eastAsia" w:asciiTheme="minorEastAsia" w:hAnsiTheme="minorEastAsia" w:eastAsiaTheme="minorEastAsia"/>
          <w:color w:val="auto"/>
          <w:sz w:val="32"/>
          <w:szCs w:val="32"/>
        </w:rPr>
        <w:t>（项）。</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263.53</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color w:val="auto"/>
          <w:sz w:val="32"/>
          <w:szCs w:val="32"/>
        </w:rPr>
        <w:t>决算数大于年初预算数的主要原因是：</w:t>
      </w:r>
      <w:r>
        <w:rPr>
          <w:rFonts w:hint="eastAsia" w:asciiTheme="minorEastAsia" w:hAnsiTheme="minorEastAsia" w:eastAsiaTheme="minorEastAsia"/>
          <w:color w:val="auto"/>
          <w:sz w:val="32"/>
          <w:szCs w:val="32"/>
          <w:lang w:eastAsia="zh-CN"/>
        </w:rPr>
        <w:t>追加了</w:t>
      </w:r>
      <w:r>
        <w:rPr>
          <w:rFonts w:hint="eastAsia" w:asciiTheme="minorEastAsia" w:hAnsiTheme="minorEastAsia" w:eastAsiaTheme="minorEastAsia"/>
          <w:color w:val="auto"/>
          <w:sz w:val="32"/>
          <w:szCs w:val="32"/>
          <w:lang w:val="en-US" w:eastAsia="zh-CN"/>
        </w:rPr>
        <w:t>预拨2021年综合绩效考评奖励、2021年平安建设工作考评奖励、食品药品监管</w:t>
      </w:r>
      <w:r>
        <w:rPr>
          <w:rFonts w:hint="eastAsia" w:asciiTheme="minorEastAsia" w:hAnsiTheme="minorEastAsia" w:eastAsiaTheme="minorEastAsia"/>
          <w:color w:val="auto"/>
          <w:sz w:val="32"/>
          <w:szCs w:val="32"/>
          <w:lang w:eastAsia="zh-CN"/>
        </w:rPr>
        <w:t>等市级专项资金。</w:t>
      </w:r>
    </w:p>
    <w:p>
      <w:pPr>
        <w:pStyle w:val="11"/>
        <w:numPr>
          <w:ilvl w:val="0"/>
          <w:numId w:val="3"/>
        </w:numPr>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一般公共服务（类）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市场秩序执法</w:t>
      </w:r>
      <w:r>
        <w:rPr>
          <w:rFonts w:hint="eastAsia" w:asciiTheme="minorEastAsia" w:hAnsiTheme="minorEastAsia" w:eastAsiaTheme="minorEastAsia"/>
          <w:color w:val="auto"/>
          <w:sz w:val="32"/>
          <w:szCs w:val="32"/>
        </w:rPr>
        <w:t>（项）。</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30.43</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color w:val="auto"/>
          <w:sz w:val="32"/>
          <w:szCs w:val="32"/>
        </w:rPr>
        <w:t>决算数大于年初预算数的主要原因是：</w:t>
      </w:r>
      <w:r>
        <w:rPr>
          <w:rFonts w:hint="eastAsia" w:asciiTheme="minorEastAsia" w:hAnsiTheme="minorEastAsia" w:eastAsiaTheme="minorEastAsia"/>
          <w:color w:val="auto"/>
          <w:sz w:val="32"/>
          <w:szCs w:val="32"/>
          <w:lang w:eastAsia="zh-CN"/>
        </w:rPr>
        <w:t>追加了非税执收成本等市级专项资金。</w:t>
      </w:r>
    </w:p>
    <w:p>
      <w:pPr>
        <w:pStyle w:val="11"/>
        <w:numPr>
          <w:ilvl w:val="0"/>
          <w:numId w:val="3"/>
        </w:numPr>
        <w:ind w:left="0" w:leftChars="0"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一般公共服务（类）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药品事务</w:t>
      </w:r>
      <w:r>
        <w:rPr>
          <w:rFonts w:hint="eastAsia" w:asciiTheme="minorEastAsia" w:hAnsiTheme="minorEastAsia" w:eastAsiaTheme="minorEastAsia"/>
          <w:color w:val="auto"/>
          <w:sz w:val="32"/>
          <w:szCs w:val="32"/>
        </w:rPr>
        <w:t>（项）。</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color w:val="auto"/>
          <w:sz w:val="32"/>
          <w:szCs w:val="32"/>
        </w:rPr>
        <w:t>决算数大于年初预算数的主要原因是：追加了</w:t>
      </w:r>
      <w:r>
        <w:rPr>
          <w:rFonts w:hint="eastAsia" w:asciiTheme="minorEastAsia" w:hAnsiTheme="minorEastAsia" w:eastAsiaTheme="minorEastAsia"/>
          <w:color w:val="auto"/>
          <w:sz w:val="32"/>
          <w:szCs w:val="32"/>
          <w:lang w:eastAsia="zh-CN"/>
        </w:rPr>
        <w:t>药品监管</w:t>
      </w:r>
      <w:r>
        <w:rPr>
          <w:rFonts w:hint="eastAsia" w:asciiTheme="minorEastAsia" w:hAnsiTheme="minorEastAsia" w:eastAsiaTheme="minorEastAsia"/>
          <w:color w:val="auto"/>
          <w:sz w:val="32"/>
          <w:szCs w:val="32"/>
        </w:rPr>
        <w:t>财政专项资金</w:t>
      </w:r>
      <w:r>
        <w:rPr>
          <w:rFonts w:hint="eastAsia" w:asciiTheme="minorEastAsia" w:hAnsiTheme="minorEastAsia" w:eastAsiaTheme="minorEastAsia"/>
          <w:color w:val="auto"/>
          <w:sz w:val="32"/>
          <w:szCs w:val="32"/>
          <w:lang w:eastAsia="zh-CN"/>
        </w:rPr>
        <w:t>。</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rPr>
        <w:t>一般公共服务（类）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val="en-US" w:eastAsia="zh-CN"/>
        </w:rPr>
        <w:t>食品安全监管</w:t>
      </w:r>
      <w:r>
        <w:rPr>
          <w:rFonts w:hint="eastAsia" w:asciiTheme="minorEastAsia" w:hAnsiTheme="minorEastAsia" w:eastAsiaTheme="minorEastAsia"/>
          <w:color w:val="auto"/>
          <w:sz w:val="32"/>
          <w:szCs w:val="32"/>
        </w:rPr>
        <w:t>（项）。</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25</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color w:val="auto"/>
          <w:sz w:val="32"/>
          <w:szCs w:val="32"/>
        </w:rPr>
        <w:t>决算数大于年初预算数的主要原因是：追加了</w:t>
      </w:r>
      <w:r>
        <w:rPr>
          <w:rFonts w:hint="eastAsia" w:asciiTheme="minorEastAsia" w:hAnsiTheme="minorEastAsia" w:eastAsiaTheme="minorEastAsia"/>
          <w:color w:val="auto"/>
          <w:sz w:val="32"/>
          <w:szCs w:val="32"/>
          <w:lang w:val="en-US" w:eastAsia="zh-CN"/>
        </w:rPr>
        <w:t>食品安全</w:t>
      </w:r>
      <w:r>
        <w:rPr>
          <w:rFonts w:hint="eastAsia" w:asciiTheme="minorEastAsia" w:hAnsiTheme="minorEastAsia" w:eastAsiaTheme="minorEastAsia"/>
          <w:color w:val="auto"/>
          <w:sz w:val="32"/>
          <w:szCs w:val="32"/>
          <w:lang w:eastAsia="zh-CN"/>
        </w:rPr>
        <w:t>监管</w:t>
      </w:r>
      <w:r>
        <w:rPr>
          <w:rFonts w:hint="eastAsia" w:asciiTheme="minorEastAsia" w:hAnsiTheme="minorEastAsia" w:eastAsiaTheme="minorEastAsia"/>
          <w:color w:val="auto"/>
          <w:sz w:val="32"/>
          <w:szCs w:val="32"/>
        </w:rPr>
        <w:t>财政专项资金</w:t>
      </w:r>
      <w:r>
        <w:rPr>
          <w:rFonts w:hint="eastAsia" w:asciiTheme="minorEastAsia" w:hAnsiTheme="minorEastAsia" w:eastAsiaTheme="minorEastAsia"/>
          <w:color w:val="auto"/>
          <w:sz w:val="32"/>
          <w:szCs w:val="32"/>
          <w:lang w:eastAsia="zh-CN"/>
        </w:rPr>
        <w:t>。</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6、</w:t>
      </w:r>
      <w:r>
        <w:rPr>
          <w:rFonts w:hint="eastAsia" w:asciiTheme="minorEastAsia" w:hAnsiTheme="minorEastAsia" w:eastAsiaTheme="minorEastAsia"/>
          <w:color w:val="auto"/>
          <w:sz w:val="32"/>
          <w:szCs w:val="32"/>
        </w:rPr>
        <w:t>一般公共服务（类）</w:t>
      </w:r>
      <w:r>
        <w:rPr>
          <w:rFonts w:hint="eastAsia" w:asciiTheme="minorEastAsia" w:hAnsiTheme="minorEastAsia" w:eastAsiaTheme="minorEastAsia"/>
          <w:color w:val="auto"/>
          <w:sz w:val="32"/>
          <w:szCs w:val="32"/>
          <w:lang w:eastAsia="zh-CN"/>
        </w:rPr>
        <w:t>市场监督管理事务</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其他市场监督管理事务</w:t>
      </w:r>
      <w:r>
        <w:rPr>
          <w:rFonts w:hint="eastAsia" w:asciiTheme="minorEastAsia" w:hAnsiTheme="minorEastAsia" w:eastAsiaTheme="minorEastAsia"/>
          <w:color w:val="auto"/>
          <w:sz w:val="32"/>
          <w:szCs w:val="32"/>
        </w:rPr>
        <w:t>（项）。</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79</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color w:val="auto"/>
          <w:sz w:val="32"/>
          <w:szCs w:val="32"/>
        </w:rPr>
        <w:t>决算数大于年初预算数的主要原因是：追加了省级</w:t>
      </w:r>
      <w:r>
        <w:rPr>
          <w:rFonts w:hint="eastAsia" w:asciiTheme="minorEastAsia" w:hAnsiTheme="minorEastAsia" w:eastAsiaTheme="minorEastAsia"/>
          <w:color w:val="auto"/>
          <w:sz w:val="32"/>
          <w:szCs w:val="32"/>
          <w:lang w:eastAsia="zh-CN"/>
        </w:rPr>
        <w:t>市场监管</w:t>
      </w:r>
      <w:r>
        <w:rPr>
          <w:rFonts w:hint="eastAsia" w:asciiTheme="minorEastAsia" w:hAnsiTheme="minorEastAsia" w:eastAsiaTheme="minorEastAsia"/>
          <w:color w:val="auto"/>
          <w:sz w:val="32"/>
          <w:szCs w:val="32"/>
        </w:rPr>
        <w:t>财政专项资金</w:t>
      </w:r>
      <w:r>
        <w:rPr>
          <w:rFonts w:hint="eastAsia" w:asciiTheme="minorEastAsia" w:hAnsiTheme="minorEastAsia" w:eastAsiaTheme="minorEastAsia"/>
          <w:color w:val="auto"/>
          <w:sz w:val="32"/>
          <w:szCs w:val="32"/>
          <w:lang w:eastAsia="zh-CN"/>
        </w:rPr>
        <w:t>。</w:t>
      </w:r>
    </w:p>
    <w:p>
      <w:pPr>
        <w:pStyle w:val="11"/>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7、</w:t>
      </w:r>
      <w:r>
        <w:rPr>
          <w:rFonts w:hint="eastAsia" w:asciiTheme="minorEastAsia" w:hAnsiTheme="minorEastAsia" w:eastAsiaTheme="minorEastAsia"/>
          <w:color w:val="auto"/>
          <w:sz w:val="32"/>
          <w:szCs w:val="32"/>
          <w:lang w:eastAsia="zh-CN"/>
        </w:rPr>
        <w:t>社会保障和就业支出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行政事业单位养老支出</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机关事业单位基本养老保险缴费支出</w:t>
      </w:r>
      <w:r>
        <w:rPr>
          <w:rFonts w:hint="eastAsia" w:asciiTheme="minorEastAsia" w:hAnsiTheme="minorEastAsia" w:eastAsiaTheme="minorEastAsia"/>
          <w:color w:val="auto"/>
          <w:sz w:val="32"/>
          <w:szCs w:val="32"/>
        </w:rPr>
        <w:t>（项）。</w:t>
      </w:r>
    </w:p>
    <w:p>
      <w:pPr>
        <w:pStyle w:val="11"/>
        <w:numPr>
          <w:ilvl w:val="0"/>
          <w:numId w:val="0"/>
        </w:numPr>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106.42</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106.42</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决算数与预算数无差异</w:t>
      </w:r>
      <w:r>
        <w:rPr>
          <w:rFonts w:hint="eastAsia" w:asciiTheme="minorEastAsia" w:hAnsiTheme="minorEastAsia" w:eastAsiaTheme="minorEastAsia"/>
          <w:color w:val="auto"/>
          <w:sz w:val="32"/>
          <w:szCs w:val="32"/>
          <w:lang w:eastAsia="zh-CN"/>
        </w:rPr>
        <w:t>。</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8、</w:t>
      </w:r>
      <w:r>
        <w:rPr>
          <w:rFonts w:hint="eastAsia" w:asciiTheme="minorEastAsia" w:hAnsiTheme="minorEastAsia" w:eastAsiaTheme="minorEastAsia"/>
          <w:color w:val="auto"/>
          <w:sz w:val="32"/>
          <w:szCs w:val="32"/>
          <w:lang w:eastAsia="zh-CN"/>
        </w:rPr>
        <w:t>社会保障和就业支出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抚恤</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其他优抚支出</w:t>
      </w:r>
      <w:r>
        <w:rPr>
          <w:rFonts w:hint="eastAsia" w:asciiTheme="minorEastAsia" w:hAnsiTheme="minorEastAsia" w:eastAsiaTheme="minorEastAsia"/>
          <w:color w:val="auto"/>
          <w:sz w:val="32"/>
          <w:szCs w:val="32"/>
        </w:rPr>
        <w:t>（项）。</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14.68</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color w:val="auto"/>
          <w:sz w:val="32"/>
          <w:szCs w:val="32"/>
        </w:rPr>
        <w:t>决算数大于年初预算数的主要原因是：新增死亡人员抚恤费</w:t>
      </w:r>
      <w:r>
        <w:rPr>
          <w:rFonts w:hint="eastAsia" w:asciiTheme="minorEastAsia" w:hAnsiTheme="minorEastAsia" w:eastAsiaTheme="minorEastAsia"/>
          <w:color w:val="auto"/>
          <w:sz w:val="32"/>
          <w:szCs w:val="32"/>
          <w:lang w:eastAsia="zh-CN"/>
        </w:rPr>
        <w:t>。</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9、</w:t>
      </w:r>
      <w:r>
        <w:rPr>
          <w:rFonts w:hint="eastAsia" w:asciiTheme="minorEastAsia" w:hAnsiTheme="minorEastAsia" w:eastAsiaTheme="minorEastAsia"/>
          <w:color w:val="auto"/>
          <w:sz w:val="32"/>
          <w:szCs w:val="32"/>
          <w:lang w:eastAsia="zh-CN"/>
        </w:rPr>
        <w:t>卫生健康支出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行政事业单位医疗</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行政单位医疗</w:t>
      </w:r>
      <w:r>
        <w:rPr>
          <w:rFonts w:hint="eastAsia" w:asciiTheme="minorEastAsia" w:hAnsiTheme="minorEastAsia" w:eastAsiaTheme="minorEastAsia"/>
          <w:color w:val="auto"/>
          <w:sz w:val="32"/>
          <w:szCs w:val="32"/>
        </w:rPr>
        <w:t>（项）。</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75.86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49.26</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64.94</w:t>
      </w:r>
      <w:r>
        <w:rPr>
          <w:rFonts w:hint="eastAsia" w:asciiTheme="minorEastAsia" w:hAnsiTheme="minorEastAsia" w:eastAsiaTheme="minorEastAsia"/>
          <w:color w:val="auto"/>
          <w:sz w:val="32"/>
          <w:szCs w:val="32"/>
        </w:rPr>
        <w:t>%，决算数</w:t>
      </w:r>
      <w:r>
        <w:rPr>
          <w:rFonts w:hint="eastAsia" w:asciiTheme="minorEastAsia" w:hAnsiTheme="minorEastAsia" w:eastAsiaTheme="minorEastAsia"/>
          <w:color w:val="auto"/>
          <w:sz w:val="32"/>
          <w:szCs w:val="32"/>
          <w:lang w:eastAsia="zh-CN"/>
        </w:rPr>
        <w:t>小于</w:t>
      </w:r>
      <w:r>
        <w:rPr>
          <w:rFonts w:hint="eastAsia" w:asciiTheme="minorEastAsia" w:hAnsiTheme="minorEastAsia" w:eastAsiaTheme="minorEastAsia"/>
          <w:color w:val="auto"/>
          <w:sz w:val="32"/>
          <w:szCs w:val="32"/>
        </w:rPr>
        <w:t>年初预算数的主要原因是：</w:t>
      </w:r>
      <w:r>
        <w:rPr>
          <w:rFonts w:hint="eastAsia" w:asciiTheme="minorEastAsia" w:hAnsiTheme="minorEastAsia" w:eastAsiaTheme="minorEastAsia"/>
          <w:color w:val="auto"/>
          <w:sz w:val="32"/>
          <w:szCs w:val="32"/>
          <w:lang w:eastAsia="zh-CN"/>
        </w:rPr>
        <w:t>公务员医疗补助缴费由财政直接支付，资金未下达单位。</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10</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住房保障支出</w:t>
      </w:r>
      <w:r>
        <w:rPr>
          <w:rFonts w:hint="eastAsia" w:asciiTheme="minorEastAsia" w:hAnsiTheme="minorEastAsia" w:eastAsiaTheme="minorEastAsia"/>
          <w:color w:val="auto"/>
          <w:sz w:val="32"/>
          <w:szCs w:val="32"/>
        </w:rPr>
        <w:t>（类）</w:t>
      </w:r>
      <w:r>
        <w:rPr>
          <w:rFonts w:hint="eastAsia" w:asciiTheme="minorEastAsia" w:hAnsiTheme="minorEastAsia" w:eastAsiaTheme="minorEastAsia"/>
          <w:color w:val="auto"/>
          <w:sz w:val="32"/>
          <w:szCs w:val="32"/>
          <w:lang w:eastAsia="zh-CN"/>
        </w:rPr>
        <w:t>住房改革支出</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住房公积金</w:t>
      </w:r>
      <w:r>
        <w:rPr>
          <w:rFonts w:hint="eastAsia" w:asciiTheme="minorEastAsia" w:hAnsiTheme="minorEastAsia" w:eastAsiaTheme="minorEastAsia"/>
          <w:color w:val="auto"/>
          <w:sz w:val="32"/>
          <w:szCs w:val="32"/>
        </w:rPr>
        <w:t>（项）。</w:t>
      </w:r>
    </w:p>
    <w:p>
      <w:pPr>
        <w:pStyle w:val="11"/>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79.81</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完成年初预算的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决算数</w:t>
      </w:r>
      <w:r>
        <w:rPr>
          <w:rFonts w:hint="eastAsia" w:asciiTheme="minorEastAsia" w:hAnsiTheme="minorEastAsia" w:eastAsiaTheme="minorEastAsia"/>
          <w:color w:val="auto"/>
          <w:sz w:val="32"/>
          <w:szCs w:val="32"/>
          <w:lang w:eastAsia="zh-CN"/>
        </w:rPr>
        <w:t>小于</w:t>
      </w:r>
      <w:r>
        <w:rPr>
          <w:rFonts w:hint="eastAsia" w:asciiTheme="minorEastAsia" w:hAnsiTheme="minorEastAsia" w:eastAsiaTheme="minorEastAsia"/>
          <w:color w:val="auto"/>
          <w:sz w:val="32"/>
          <w:szCs w:val="32"/>
        </w:rPr>
        <w:t>年初预算数的主要原因是：</w:t>
      </w:r>
      <w:r>
        <w:rPr>
          <w:rFonts w:hint="eastAsia" w:asciiTheme="minorEastAsia" w:hAnsiTheme="minorEastAsia" w:eastAsiaTheme="minorEastAsia"/>
          <w:color w:val="auto"/>
          <w:sz w:val="32"/>
          <w:szCs w:val="32"/>
          <w:lang w:eastAsia="zh-CN"/>
        </w:rPr>
        <w:t>住房公积金由财政直接支付，资金未下达到单位。</w:t>
      </w:r>
    </w:p>
    <w:p>
      <w:pPr>
        <w:pStyle w:val="11"/>
        <w:rPr>
          <w:rFonts w:hAnsi="黑体"/>
          <w:b/>
          <w:color w:val="auto"/>
          <w:sz w:val="32"/>
          <w:szCs w:val="32"/>
        </w:rPr>
      </w:pPr>
      <w:r>
        <w:rPr>
          <w:rFonts w:hint="eastAsia" w:hAnsi="黑体"/>
          <w:b/>
          <w:color w:val="auto"/>
          <w:sz w:val="32"/>
          <w:szCs w:val="32"/>
        </w:rPr>
        <w:t>六、一般公共预算财政拨款基本支出决算情况说明</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2021年度财政拨款基本支出</w:t>
      </w:r>
      <w:r>
        <w:rPr>
          <w:rFonts w:hint="eastAsia" w:asciiTheme="minorEastAsia" w:hAnsiTheme="minorEastAsia" w:eastAsiaTheme="minorEastAsia"/>
          <w:color w:val="auto"/>
          <w:sz w:val="32"/>
          <w:szCs w:val="32"/>
          <w:lang w:val="en-US" w:eastAsia="zh-CN"/>
        </w:rPr>
        <w:t>1472.35</w:t>
      </w:r>
      <w:r>
        <w:rPr>
          <w:rFonts w:hint="eastAsia" w:asciiTheme="minorEastAsia" w:hAnsiTheme="minorEastAsia" w:eastAsiaTheme="minorEastAsia"/>
          <w:color w:val="auto"/>
          <w:sz w:val="32"/>
          <w:szCs w:val="32"/>
        </w:rPr>
        <w:t>万元，其中：人员经费</w:t>
      </w:r>
      <w:r>
        <w:rPr>
          <w:rFonts w:hint="eastAsia" w:asciiTheme="minorEastAsia" w:hAnsiTheme="minorEastAsia" w:eastAsiaTheme="minorEastAsia"/>
          <w:color w:val="auto"/>
          <w:sz w:val="32"/>
          <w:szCs w:val="32"/>
          <w:lang w:val="en-US" w:eastAsia="zh-CN"/>
        </w:rPr>
        <w:t>1257.72</w:t>
      </w:r>
      <w:r>
        <w:rPr>
          <w:rFonts w:hint="eastAsia" w:asciiTheme="minorEastAsia" w:hAnsiTheme="minorEastAsia" w:eastAsiaTheme="minorEastAsia"/>
          <w:color w:val="auto"/>
          <w:sz w:val="32"/>
          <w:szCs w:val="32"/>
        </w:rPr>
        <w:t>万元，占基本支出的</w:t>
      </w:r>
      <w:r>
        <w:rPr>
          <w:rFonts w:hint="eastAsia" w:asciiTheme="minorEastAsia" w:hAnsiTheme="minorEastAsia" w:eastAsiaTheme="minorEastAsia"/>
          <w:color w:val="auto"/>
          <w:sz w:val="32"/>
          <w:szCs w:val="32"/>
          <w:lang w:val="en-US" w:eastAsia="zh-CN"/>
        </w:rPr>
        <w:t>85.42</w:t>
      </w:r>
      <w:r>
        <w:rPr>
          <w:rFonts w:hint="eastAsia" w:asciiTheme="minorEastAsia" w:hAnsiTheme="minorEastAsia" w:eastAsiaTheme="minorEastAsia"/>
          <w:color w:val="auto"/>
          <w:sz w:val="32"/>
          <w:szCs w:val="32"/>
        </w:rPr>
        <w:t>%,主要包括主要包括基本工资、津贴补贴、</w:t>
      </w:r>
      <w:r>
        <w:rPr>
          <w:rFonts w:hint="eastAsia" w:asciiTheme="minorEastAsia" w:hAnsiTheme="minorEastAsia" w:eastAsiaTheme="minorEastAsia"/>
          <w:color w:val="auto"/>
          <w:sz w:val="32"/>
          <w:szCs w:val="32"/>
          <w:lang w:val="zh-CN"/>
        </w:rPr>
        <w:t>奖金、机关事业单位基本养老保险缴费、职工基本医疗保险缴费、退休费、抚恤金、奖励金、其他对个人和家庭的补助</w:t>
      </w:r>
      <w:r>
        <w:rPr>
          <w:rFonts w:hint="eastAsia" w:asciiTheme="minorEastAsia" w:hAnsiTheme="minorEastAsia" w:eastAsiaTheme="minorEastAsia"/>
          <w:color w:val="auto"/>
          <w:sz w:val="32"/>
          <w:szCs w:val="32"/>
        </w:rPr>
        <w:t>；公用经费</w:t>
      </w:r>
      <w:r>
        <w:rPr>
          <w:rFonts w:hint="eastAsia" w:asciiTheme="minorEastAsia" w:hAnsiTheme="minorEastAsia" w:eastAsiaTheme="minorEastAsia"/>
          <w:color w:val="auto"/>
          <w:sz w:val="32"/>
          <w:szCs w:val="32"/>
          <w:lang w:val="en-US" w:eastAsia="zh-CN"/>
        </w:rPr>
        <w:t>214.63</w:t>
      </w:r>
      <w:r>
        <w:rPr>
          <w:rFonts w:hint="eastAsia" w:asciiTheme="minorEastAsia" w:hAnsiTheme="minorEastAsia" w:eastAsiaTheme="minorEastAsia"/>
          <w:color w:val="auto"/>
          <w:sz w:val="32"/>
          <w:szCs w:val="32"/>
        </w:rPr>
        <w:t>万元，占基本支出的</w:t>
      </w:r>
      <w:r>
        <w:rPr>
          <w:rFonts w:hint="eastAsia" w:asciiTheme="minorEastAsia" w:hAnsiTheme="minorEastAsia" w:eastAsiaTheme="minorEastAsia"/>
          <w:color w:val="auto"/>
          <w:sz w:val="32"/>
          <w:szCs w:val="32"/>
          <w:lang w:val="en-US" w:eastAsia="zh-CN"/>
        </w:rPr>
        <w:t>14.58</w:t>
      </w:r>
      <w:r>
        <w:rPr>
          <w:rFonts w:hint="eastAsia" w:asciiTheme="minorEastAsia" w:hAnsiTheme="minorEastAsia" w:eastAsiaTheme="minorEastAsia"/>
          <w:color w:val="auto"/>
          <w:sz w:val="32"/>
          <w:szCs w:val="32"/>
        </w:rPr>
        <w:t>%，主要包括办公费、印刷费、水费、电费、邮电费、物业管理费、差旅费、维修（护）费、租赁费、培训费、公务接待费、工会经费、福利费、公务用车运行维护费、其他交通费用、其他商品和服务支出。</w:t>
      </w:r>
    </w:p>
    <w:p>
      <w:pPr>
        <w:pStyle w:val="11"/>
        <w:rPr>
          <w:rFonts w:hAnsi="黑体"/>
          <w:b/>
          <w:color w:val="auto"/>
          <w:sz w:val="32"/>
          <w:szCs w:val="32"/>
        </w:rPr>
      </w:pPr>
      <w:r>
        <w:rPr>
          <w:rFonts w:hint="eastAsia" w:hAnsi="黑体"/>
          <w:b/>
          <w:color w:val="auto"/>
          <w:sz w:val="32"/>
          <w:szCs w:val="32"/>
        </w:rPr>
        <w:t>七、一般公共预算财政拨款“三公”经费支出决算情况说明</w:t>
      </w:r>
    </w:p>
    <w:p>
      <w:pPr>
        <w:pStyle w:val="11"/>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2021年度“三公”经费财政拨款支出预算为</w:t>
      </w:r>
      <w:r>
        <w:rPr>
          <w:rFonts w:hint="eastAsia" w:asciiTheme="minorEastAsia" w:hAnsiTheme="minorEastAsia" w:eastAsiaTheme="minorEastAsia"/>
          <w:color w:val="auto"/>
          <w:sz w:val="32"/>
          <w:szCs w:val="32"/>
          <w:lang w:val="en-US" w:eastAsia="zh-CN"/>
        </w:rPr>
        <w:t>33.8</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27.42</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81.12</w:t>
      </w:r>
      <w:r>
        <w:rPr>
          <w:rFonts w:hint="eastAsia" w:asciiTheme="minorEastAsia" w:hAnsiTheme="minorEastAsia" w:eastAsiaTheme="minorEastAsia"/>
          <w:color w:val="auto"/>
          <w:sz w:val="32"/>
          <w:szCs w:val="32"/>
        </w:rPr>
        <w:t>%，其中：</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因公出国（境）费支出预算为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color w:val="auto"/>
          <w:sz w:val="32"/>
          <w:szCs w:val="32"/>
        </w:rPr>
        <w:t>与上年相比</w:t>
      </w:r>
      <w:r>
        <w:rPr>
          <w:rFonts w:hint="eastAsia" w:asciiTheme="minorEastAsia" w:hAnsiTheme="minorEastAsia" w:eastAsiaTheme="minorEastAsia"/>
          <w:color w:val="auto"/>
          <w:sz w:val="32"/>
          <w:szCs w:val="32"/>
          <w:lang w:val="en-US" w:eastAsia="zh-CN"/>
        </w:rPr>
        <w:t>无增减，持平原因为未发生</w:t>
      </w:r>
      <w:r>
        <w:rPr>
          <w:rFonts w:hint="eastAsia" w:asciiTheme="minorEastAsia" w:hAnsiTheme="minorEastAsia" w:eastAsiaTheme="minorEastAsia"/>
          <w:color w:val="auto"/>
          <w:sz w:val="32"/>
          <w:szCs w:val="32"/>
        </w:rPr>
        <w:t>因公出国（境）费支出。</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w:t>
      </w:r>
      <w:r>
        <w:rPr>
          <w:rFonts w:hint="eastAsia" w:asciiTheme="minorEastAsia" w:hAnsiTheme="minorEastAsia" w:eastAsiaTheme="minorEastAsia"/>
          <w:color w:val="auto"/>
          <w:sz w:val="32"/>
          <w:szCs w:val="32"/>
          <w:lang w:val="en-US" w:eastAsia="zh-CN"/>
        </w:rPr>
        <w:t>9.8</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3.69</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36.9</w:t>
      </w:r>
      <w:r>
        <w:rPr>
          <w:rFonts w:hint="eastAsia" w:asciiTheme="minorEastAsia" w:hAnsiTheme="minorEastAsia" w:eastAsiaTheme="minorEastAsia"/>
          <w:color w:val="auto"/>
          <w:sz w:val="32"/>
          <w:szCs w:val="32"/>
        </w:rPr>
        <w:t>%，决算数小于预算数的主要原因是</w:t>
      </w:r>
      <w:r>
        <w:rPr>
          <w:rFonts w:hint="eastAsia" w:asciiTheme="minorEastAsia" w:hAnsiTheme="minorEastAsia" w:eastAsiaTheme="minorEastAsia"/>
          <w:color w:val="auto"/>
          <w:sz w:val="32"/>
          <w:szCs w:val="32"/>
          <w:lang w:val="en-US" w:eastAsia="zh-CN"/>
        </w:rPr>
        <w:t>认真贯彻落实中央“八项规定”精神和厉行节约要求，</w:t>
      </w:r>
      <w:r>
        <w:rPr>
          <w:rFonts w:hint="eastAsia" w:asciiTheme="minorEastAsia" w:hAnsiTheme="minorEastAsia" w:eastAsiaTheme="minorEastAsia"/>
          <w:color w:val="auto"/>
          <w:sz w:val="32"/>
          <w:szCs w:val="32"/>
          <w:lang w:eastAsia="zh-CN"/>
        </w:rPr>
        <w:t>严控</w:t>
      </w:r>
      <w:r>
        <w:rPr>
          <w:rFonts w:hint="eastAsia" w:asciiTheme="minorEastAsia" w:hAnsiTheme="minorEastAsia" w:eastAsiaTheme="minorEastAsia"/>
          <w:color w:val="auto"/>
          <w:sz w:val="32"/>
          <w:szCs w:val="32"/>
          <w:lang w:val="en-US" w:eastAsia="zh-CN"/>
        </w:rPr>
        <w:t>“三公”</w:t>
      </w:r>
      <w:r>
        <w:rPr>
          <w:rFonts w:hint="eastAsia" w:asciiTheme="minorEastAsia" w:hAnsiTheme="minorEastAsia" w:eastAsiaTheme="minorEastAsia"/>
          <w:color w:val="auto"/>
          <w:sz w:val="32"/>
          <w:szCs w:val="32"/>
          <w:lang w:eastAsia="zh-CN"/>
        </w:rPr>
        <w:t>经费</w:t>
      </w:r>
      <w:r>
        <w:rPr>
          <w:rFonts w:hint="eastAsia" w:asciiTheme="minorEastAsia" w:hAnsiTheme="minorEastAsia" w:eastAsiaTheme="minorEastAsia"/>
          <w:color w:val="auto"/>
          <w:sz w:val="32"/>
          <w:szCs w:val="32"/>
          <w:lang w:val="en-US" w:eastAsia="zh-CN"/>
        </w:rPr>
        <w:t>开支</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全年实际支出比预算有所节约。</w:t>
      </w:r>
      <w:r>
        <w:rPr>
          <w:rFonts w:hint="eastAsia" w:asciiTheme="minorEastAsia" w:hAnsiTheme="minorEastAsia" w:eastAsiaTheme="minorEastAsia"/>
          <w:color w:val="auto"/>
          <w:sz w:val="32"/>
          <w:szCs w:val="32"/>
        </w:rPr>
        <w:t>与上年相比</w:t>
      </w:r>
      <w:r>
        <w:rPr>
          <w:rFonts w:hint="eastAsia" w:asciiTheme="minorEastAsia" w:hAnsiTheme="minorEastAsia" w:eastAsiaTheme="minorEastAsia"/>
          <w:color w:val="auto"/>
          <w:sz w:val="32"/>
          <w:szCs w:val="32"/>
          <w:lang w:val="en-US" w:eastAsia="zh-CN"/>
        </w:rPr>
        <w:t>无增减，持平原因为严控“三公经费”比上年无增长</w:t>
      </w:r>
      <w:r>
        <w:rPr>
          <w:rFonts w:hint="eastAsia" w:asciiTheme="minorEastAsia" w:hAnsiTheme="minorEastAsia" w:eastAsiaTheme="minorEastAsia"/>
          <w:color w:val="auto"/>
          <w:sz w:val="32"/>
          <w:szCs w:val="32"/>
        </w:rPr>
        <w:t>。</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公务用车购置费支出预算为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由于预算数为</w:t>
      </w:r>
      <w:r>
        <w:rPr>
          <w:rFonts w:hint="eastAsia" w:asciiTheme="minorEastAsia" w:hAnsiTheme="minorEastAsia" w:eastAsiaTheme="minorEastAsia"/>
          <w:color w:val="auto"/>
          <w:sz w:val="32"/>
          <w:szCs w:val="32"/>
          <w:lang w:val="en-US" w:eastAsia="zh-CN"/>
        </w:rPr>
        <w:t>0，无法计算百分比，</w:t>
      </w:r>
      <w:r>
        <w:rPr>
          <w:rFonts w:hint="eastAsia" w:asciiTheme="minorEastAsia" w:hAnsiTheme="minorEastAsia" w:eastAsiaTheme="minorEastAsia"/>
          <w:color w:val="auto"/>
          <w:sz w:val="32"/>
          <w:szCs w:val="32"/>
        </w:rPr>
        <w:t>与上年相比</w:t>
      </w:r>
      <w:r>
        <w:rPr>
          <w:rFonts w:hint="eastAsia" w:asciiTheme="minorEastAsia" w:hAnsiTheme="minorEastAsia" w:eastAsiaTheme="minorEastAsia"/>
          <w:color w:val="auto"/>
          <w:sz w:val="32"/>
          <w:szCs w:val="32"/>
          <w:lang w:val="en-US" w:eastAsia="zh-CN"/>
        </w:rPr>
        <w:t>无增减，持平原因为未发生公务用车购置支出</w:t>
      </w:r>
      <w:r>
        <w:rPr>
          <w:rFonts w:hint="eastAsia" w:asciiTheme="minorEastAsia" w:hAnsiTheme="minorEastAsia" w:eastAsiaTheme="minorEastAsia"/>
          <w:color w:val="auto"/>
          <w:sz w:val="32"/>
          <w:szCs w:val="32"/>
        </w:rPr>
        <w:t>。</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公务用车运行维护费支出预算为</w:t>
      </w:r>
      <w:r>
        <w:rPr>
          <w:rFonts w:hint="eastAsia" w:asciiTheme="minorEastAsia" w:hAnsiTheme="minorEastAsia" w:eastAsiaTheme="minorEastAsia"/>
          <w:color w:val="auto"/>
          <w:sz w:val="32"/>
          <w:szCs w:val="32"/>
          <w:lang w:val="en-US" w:eastAsia="zh-CN"/>
        </w:rPr>
        <w:t>24</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23.73</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98.88</w:t>
      </w:r>
      <w:r>
        <w:rPr>
          <w:rFonts w:hint="eastAsia" w:asciiTheme="minorEastAsia" w:hAnsiTheme="minorEastAsia" w:eastAsiaTheme="minorEastAsia"/>
          <w:color w:val="auto"/>
          <w:sz w:val="32"/>
          <w:szCs w:val="32"/>
        </w:rPr>
        <w:t>%，决算数小于预算数的主要原因是</w:t>
      </w:r>
      <w:r>
        <w:rPr>
          <w:rFonts w:hint="eastAsia" w:asciiTheme="minorEastAsia" w:hAnsiTheme="minorEastAsia" w:eastAsiaTheme="minorEastAsia"/>
          <w:color w:val="auto"/>
          <w:sz w:val="32"/>
          <w:szCs w:val="32"/>
          <w:lang w:val="en-US" w:eastAsia="zh-CN"/>
        </w:rPr>
        <w:t>认真贯彻落实中央“八项规定”精神和厉行节约要求，</w:t>
      </w:r>
      <w:r>
        <w:rPr>
          <w:rFonts w:hint="eastAsia" w:asciiTheme="minorEastAsia" w:hAnsiTheme="minorEastAsia" w:eastAsiaTheme="minorEastAsia"/>
          <w:color w:val="auto"/>
          <w:sz w:val="32"/>
          <w:szCs w:val="32"/>
          <w:lang w:eastAsia="zh-CN"/>
        </w:rPr>
        <w:t>严控</w:t>
      </w:r>
      <w:r>
        <w:rPr>
          <w:rFonts w:hint="eastAsia" w:asciiTheme="minorEastAsia" w:hAnsiTheme="minorEastAsia" w:eastAsiaTheme="minorEastAsia"/>
          <w:color w:val="auto"/>
          <w:sz w:val="32"/>
          <w:szCs w:val="32"/>
          <w:lang w:val="en-US" w:eastAsia="zh-CN"/>
        </w:rPr>
        <w:t>“三公”</w:t>
      </w:r>
      <w:r>
        <w:rPr>
          <w:rFonts w:hint="eastAsia" w:asciiTheme="minorEastAsia" w:hAnsiTheme="minorEastAsia" w:eastAsiaTheme="minorEastAsia"/>
          <w:color w:val="auto"/>
          <w:sz w:val="32"/>
          <w:szCs w:val="32"/>
          <w:lang w:eastAsia="zh-CN"/>
        </w:rPr>
        <w:t>经费</w:t>
      </w:r>
      <w:r>
        <w:rPr>
          <w:rFonts w:hint="eastAsia" w:asciiTheme="minorEastAsia" w:hAnsiTheme="minorEastAsia" w:eastAsiaTheme="minorEastAsia"/>
          <w:color w:val="auto"/>
          <w:sz w:val="32"/>
          <w:szCs w:val="32"/>
          <w:lang w:val="en-US" w:eastAsia="zh-CN"/>
        </w:rPr>
        <w:t>开支</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全年实际支出比预算有所节约。</w:t>
      </w:r>
      <w:r>
        <w:rPr>
          <w:rFonts w:hint="eastAsia" w:asciiTheme="minorEastAsia" w:hAnsiTheme="minorEastAsia" w:eastAsiaTheme="minorEastAsia"/>
          <w:color w:val="auto"/>
          <w:sz w:val="32"/>
          <w:szCs w:val="32"/>
        </w:rPr>
        <w:t>与上年相比减少</w:t>
      </w:r>
      <w:r>
        <w:rPr>
          <w:rFonts w:hint="eastAsia" w:asciiTheme="minorEastAsia" w:hAnsiTheme="minorEastAsia" w:eastAsiaTheme="minorEastAsia"/>
          <w:color w:val="auto"/>
          <w:sz w:val="32"/>
          <w:szCs w:val="32"/>
          <w:lang w:val="en-US" w:eastAsia="zh-CN"/>
        </w:rPr>
        <w:t>0.11</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0.46</w:t>
      </w:r>
      <w:r>
        <w:rPr>
          <w:rFonts w:hint="eastAsia" w:asciiTheme="minorEastAsia" w:hAnsiTheme="minorEastAsia" w:eastAsiaTheme="minorEastAsia"/>
          <w:color w:val="auto"/>
          <w:sz w:val="32"/>
          <w:szCs w:val="32"/>
        </w:rPr>
        <w:t>%,减少的主要原因是</w:t>
      </w:r>
      <w:r>
        <w:rPr>
          <w:rFonts w:hint="eastAsia" w:asciiTheme="minorEastAsia" w:hAnsiTheme="minorEastAsia" w:eastAsiaTheme="minorEastAsia"/>
          <w:color w:val="auto"/>
          <w:sz w:val="32"/>
          <w:szCs w:val="32"/>
          <w:lang w:val="en-US" w:eastAsia="zh-CN"/>
        </w:rPr>
        <w:t>认真贯彻落实中央“八项规定”精神和厉行节约要求，</w:t>
      </w:r>
      <w:r>
        <w:rPr>
          <w:rFonts w:hint="eastAsia" w:asciiTheme="minorEastAsia" w:hAnsiTheme="minorEastAsia" w:eastAsiaTheme="minorEastAsia"/>
          <w:color w:val="auto"/>
          <w:sz w:val="32"/>
          <w:szCs w:val="32"/>
          <w:lang w:eastAsia="zh-CN"/>
        </w:rPr>
        <w:t>严控</w:t>
      </w:r>
      <w:r>
        <w:rPr>
          <w:rFonts w:hint="eastAsia" w:asciiTheme="minorEastAsia" w:hAnsiTheme="minorEastAsia" w:eastAsiaTheme="minorEastAsia"/>
          <w:color w:val="auto"/>
          <w:sz w:val="32"/>
          <w:szCs w:val="32"/>
          <w:lang w:val="en-US" w:eastAsia="zh-CN"/>
        </w:rPr>
        <w:t>“三公”</w:t>
      </w:r>
      <w:r>
        <w:rPr>
          <w:rFonts w:hint="eastAsia" w:asciiTheme="minorEastAsia" w:hAnsiTheme="minorEastAsia" w:eastAsiaTheme="minorEastAsia"/>
          <w:color w:val="auto"/>
          <w:sz w:val="32"/>
          <w:szCs w:val="32"/>
          <w:lang w:eastAsia="zh-CN"/>
        </w:rPr>
        <w:t>经费</w:t>
      </w:r>
      <w:r>
        <w:rPr>
          <w:rFonts w:hint="eastAsia" w:asciiTheme="minorEastAsia" w:hAnsiTheme="minorEastAsia" w:eastAsiaTheme="minorEastAsia"/>
          <w:color w:val="auto"/>
          <w:sz w:val="32"/>
          <w:szCs w:val="32"/>
          <w:lang w:val="en-US" w:eastAsia="zh-CN"/>
        </w:rPr>
        <w:t>开支</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全年实际支出比上年有所减少</w:t>
      </w:r>
      <w:r>
        <w:rPr>
          <w:rFonts w:hint="eastAsia" w:asciiTheme="minorEastAsia" w:hAnsiTheme="minorEastAsia" w:eastAsiaTheme="minorEastAsia"/>
          <w:color w:val="auto"/>
          <w:sz w:val="32"/>
          <w:szCs w:val="32"/>
        </w:rPr>
        <w:t>。</w:t>
      </w:r>
    </w:p>
    <w:p>
      <w:pPr>
        <w:pStyle w:val="11"/>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（二）“三公”经费财政拨款支出决算具体情况说明</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2021年度“三公”经费财政拨款支出决算中，公务接待费支出决算</w:t>
      </w:r>
      <w:r>
        <w:rPr>
          <w:rFonts w:hint="eastAsia" w:asciiTheme="minorEastAsia" w:hAnsiTheme="minorEastAsia" w:eastAsiaTheme="minorEastAsia"/>
          <w:color w:val="auto"/>
          <w:sz w:val="32"/>
          <w:szCs w:val="32"/>
          <w:lang w:val="en-US" w:eastAsia="zh-CN"/>
        </w:rPr>
        <w:t>3.69</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13.46</w:t>
      </w:r>
      <w:r>
        <w:rPr>
          <w:rFonts w:hint="eastAsia" w:asciiTheme="minorEastAsia" w:hAnsiTheme="minorEastAsia" w:eastAsiaTheme="minorEastAsia"/>
          <w:color w:val="auto"/>
          <w:sz w:val="32"/>
          <w:szCs w:val="32"/>
        </w:rPr>
        <w:t>%,因公出国（境）费支出决算</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%,公务用车购置费及运行维护费支出决算</w:t>
      </w:r>
      <w:r>
        <w:rPr>
          <w:rFonts w:hint="eastAsia" w:asciiTheme="minorEastAsia" w:hAnsiTheme="minorEastAsia" w:eastAsiaTheme="minorEastAsia"/>
          <w:color w:val="auto"/>
          <w:sz w:val="32"/>
          <w:szCs w:val="32"/>
          <w:lang w:val="en-US" w:eastAsia="zh-CN"/>
        </w:rPr>
        <w:t>23.73</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86.54</w:t>
      </w:r>
      <w:r>
        <w:rPr>
          <w:rFonts w:hint="eastAsia" w:asciiTheme="minorEastAsia" w:hAnsiTheme="minorEastAsia" w:eastAsiaTheme="minorEastAsia"/>
          <w:color w:val="auto"/>
          <w:sz w:val="32"/>
          <w:szCs w:val="32"/>
        </w:rPr>
        <w:t>%。其中：</w:t>
      </w:r>
    </w:p>
    <w:p>
      <w:pPr>
        <w:pStyle w:val="11"/>
        <w:numPr>
          <w:ilvl w:val="0"/>
          <w:numId w:val="4"/>
        </w:numPr>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因公出国（境）费支出决算为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万元，全年安排因公出国（境）团组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个，累计</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人次</w:t>
      </w:r>
      <w:r>
        <w:rPr>
          <w:rFonts w:hint="eastAsia" w:asciiTheme="minorEastAsia" w:hAnsiTheme="minorEastAsia" w:eastAsiaTheme="minorEastAsia"/>
          <w:color w:val="auto"/>
          <w:sz w:val="32"/>
          <w:szCs w:val="32"/>
          <w:lang w:eastAsia="zh-CN"/>
        </w:rPr>
        <w:t>。</w:t>
      </w:r>
    </w:p>
    <w:p>
      <w:pPr>
        <w:pStyle w:val="11"/>
        <w:numPr>
          <w:ilvl w:val="0"/>
          <w:numId w:val="0"/>
        </w:numPr>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2、</w:t>
      </w:r>
      <w:r>
        <w:rPr>
          <w:rFonts w:hint="eastAsia" w:asciiTheme="minorEastAsia" w:hAnsiTheme="minorEastAsia" w:eastAsiaTheme="minorEastAsia"/>
          <w:color w:val="auto"/>
          <w:sz w:val="32"/>
          <w:szCs w:val="32"/>
        </w:rPr>
        <w:t>公务接待费支出决算为</w:t>
      </w:r>
      <w:r>
        <w:rPr>
          <w:rFonts w:hint="eastAsia" w:asciiTheme="minorEastAsia" w:hAnsiTheme="minorEastAsia" w:eastAsiaTheme="minorEastAsia"/>
          <w:color w:val="auto"/>
          <w:sz w:val="32"/>
          <w:szCs w:val="32"/>
          <w:lang w:val="en-US" w:eastAsia="zh-CN"/>
        </w:rPr>
        <w:t>3.69</w:t>
      </w:r>
      <w:r>
        <w:rPr>
          <w:rFonts w:hint="eastAsia" w:asciiTheme="minorEastAsia" w:hAnsiTheme="minorEastAsia" w:eastAsiaTheme="minorEastAsia"/>
          <w:color w:val="auto"/>
          <w:sz w:val="32"/>
          <w:szCs w:val="32"/>
        </w:rPr>
        <w:t>万元，全年共接待来访团组</w:t>
      </w:r>
      <w:r>
        <w:rPr>
          <w:rFonts w:hint="eastAsia" w:asciiTheme="minorEastAsia" w:hAnsiTheme="minorEastAsia" w:eastAsiaTheme="minorEastAsia"/>
          <w:color w:val="auto"/>
          <w:sz w:val="32"/>
          <w:szCs w:val="32"/>
          <w:lang w:val="en-US" w:eastAsia="zh-CN"/>
        </w:rPr>
        <w:t>28</w:t>
      </w:r>
      <w:r>
        <w:rPr>
          <w:rFonts w:hint="eastAsia" w:asciiTheme="minorEastAsia" w:hAnsiTheme="minorEastAsia" w:eastAsiaTheme="minorEastAsia"/>
          <w:color w:val="auto"/>
          <w:sz w:val="32"/>
          <w:szCs w:val="32"/>
        </w:rPr>
        <w:t>个、来宾</w:t>
      </w:r>
      <w:r>
        <w:rPr>
          <w:rFonts w:hint="eastAsia" w:asciiTheme="minorEastAsia" w:hAnsiTheme="minorEastAsia" w:eastAsiaTheme="minorEastAsia"/>
          <w:color w:val="auto"/>
          <w:sz w:val="32"/>
          <w:szCs w:val="32"/>
          <w:lang w:val="en-US" w:eastAsia="zh-CN"/>
        </w:rPr>
        <w:t>308</w:t>
      </w:r>
      <w:r>
        <w:rPr>
          <w:rFonts w:hint="eastAsia" w:asciiTheme="minorEastAsia" w:hAnsiTheme="minorEastAsia" w:eastAsiaTheme="minorEastAsia"/>
          <w:color w:val="auto"/>
          <w:sz w:val="32"/>
          <w:szCs w:val="32"/>
        </w:rPr>
        <w:t>人次，主要是学习交流、检查、考核等发生的接待支出。</w:t>
      </w:r>
    </w:p>
    <w:p>
      <w:pPr>
        <w:pStyle w:val="11"/>
        <w:numPr>
          <w:ilvl w:val="0"/>
          <w:numId w:val="0"/>
        </w:numPr>
        <w:ind w:firstLine="640" w:firstLineChars="20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3、公务用车购置费及运行维护费支出决算为23.73万元，其中：公务用车购置费0万元，单位本级更新公务用车0辆。公务用车运行维护费23.73万元，主要是公务车辆油料、维修、保险等支出，截止2021年12月31日，我单位开支财政拨款的公务用车保有量为8辆。</w:t>
      </w:r>
    </w:p>
    <w:p>
      <w:pPr>
        <w:pStyle w:val="11"/>
        <w:rPr>
          <w:rFonts w:hint="eastAsia" w:hAnsi="黑体"/>
          <w:b/>
          <w:color w:val="auto"/>
          <w:sz w:val="32"/>
          <w:szCs w:val="32"/>
        </w:rPr>
      </w:pPr>
      <w:r>
        <w:rPr>
          <w:rFonts w:hint="eastAsia" w:hAnsi="黑体"/>
          <w:b/>
          <w:color w:val="auto"/>
          <w:sz w:val="32"/>
          <w:szCs w:val="32"/>
        </w:rPr>
        <w:t>八、政府性基金预算收入支出决算情况</w:t>
      </w:r>
    </w:p>
    <w:p>
      <w:pPr>
        <w:pStyle w:val="11"/>
        <w:ind w:firstLine="640" w:firstLineChars="200"/>
        <w:rPr>
          <w:rFonts w:hAnsi="黑体"/>
          <w:b/>
          <w:color w:val="auto"/>
          <w:sz w:val="32"/>
          <w:szCs w:val="32"/>
        </w:rPr>
      </w:pPr>
      <w:r>
        <w:rPr>
          <w:rFonts w:hint="eastAsia" w:asciiTheme="minorEastAsia" w:hAnsiTheme="minorEastAsia" w:eastAsiaTheme="minorEastAsia"/>
          <w:color w:val="auto"/>
          <w:sz w:val="32"/>
          <w:szCs w:val="32"/>
          <w:lang w:eastAsia="zh-CN"/>
        </w:rPr>
        <w:t>2021年</w:t>
      </w:r>
      <w:r>
        <w:rPr>
          <w:rFonts w:hint="eastAsia" w:asciiTheme="minorEastAsia" w:hAnsiTheme="minorEastAsia" w:eastAsiaTheme="minorEastAsia"/>
          <w:color w:val="auto"/>
          <w:sz w:val="32"/>
          <w:szCs w:val="32"/>
        </w:rPr>
        <w:t>度</w:t>
      </w:r>
      <w:r>
        <w:rPr>
          <w:rFonts w:hint="eastAsia" w:asciiTheme="minorEastAsia" w:hAnsiTheme="minorEastAsia" w:eastAsiaTheme="minorEastAsia"/>
          <w:color w:val="auto"/>
          <w:sz w:val="32"/>
          <w:szCs w:val="32"/>
          <w:lang w:eastAsia="zh-CN"/>
        </w:rPr>
        <w:t>本单位无</w:t>
      </w:r>
      <w:r>
        <w:rPr>
          <w:rFonts w:hint="eastAsia" w:asciiTheme="minorEastAsia" w:hAnsiTheme="minorEastAsia" w:eastAsiaTheme="minorEastAsia"/>
          <w:color w:val="auto"/>
          <w:sz w:val="32"/>
          <w:szCs w:val="32"/>
        </w:rPr>
        <w:t>政府性基金</w:t>
      </w:r>
      <w:r>
        <w:rPr>
          <w:rFonts w:hint="eastAsia" w:asciiTheme="minorEastAsia" w:hAnsiTheme="minorEastAsia" w:eastAsiaTheme="minorEastAsia"/>
          <w:color w:val="auto"/>
          <w:sz w:val="32"/>
          <w:szCs w:val="32"/>
          <w:lang w:eastAsia="zh-CN"/>
        </w:rPr>
        <w:t>收支</w:t>
      </w:r>
      <w:r>
        <w:rPr>
          <w:rFonts w:hint="eastAsia" w:asciiTheme="minorEastAsia" w:hAnsiTheme="minorEastAsia" w:eastAsiaTheme="minorEastAsia"/>
          <w:color w:val="auto"/>
          <w:sz w:val="32"/>
          <w:szCs w:val="32"/>
        </w:rPr>
        <w:t>。</w:t>
      </w:r>
    </w:p>
    <w:p>
      <w:pPr>
        <w:pStyle w:val="11"/>
        <w:numPr>
          <w:ilvl w:val="0"/>
          <w:numId w:val="5"/>
        </w:numPr>
        <w:rPr>
          <w:rFonts w:hint="eastAsia" w:hAnsi="黑体"/>
          <w:b/>
          <w:color w:val="auto"/>
          <w:sz w:val="32"/>
          <w:szCs w:val="32"/>
          <w:lang w:eastAsia="zh-CN"/>
        </w:rPr>
      </w:pPr>
      <w:r>
        <w:rPr>
          <w:rFonts w:hint="eastAsia" w:hAnsi="黑体"/>
          <w:b/>
          <w:color w:val="auto"/>
          <w:sz w:val="32"/>
          <w:szCs w:val="32"/>
        </w:rPr>
        <w:t>国有资本经营预算财政拨款支出决算</w:t>
      </w:r>
      <w:r>
        <w:rPr>
          <w:rFonts w:hint="eastAsia" w:hAnsi="黑体"/>
          <w:b/>
          <w:color w:val="auto"/>
          <w:sz w:val="32"/>
          <w:szCs w:val="32"/>
          <w:lang w:eastAsia="zh-CN"/>
        </w:rPr>
        <w:t>情况</w:t>
      </w:r>
    </w:p>
    <w:p>
      <w:pPr>
        <w:pStyle w:val="11"/>
        <w:ind w:firstLine="640"/>
        <w:rPr>
          <w:rFonts w:hint="eastAsia" w:asciiTheme="minorEastAsia" w:hAnsiTheme="minorEastAsia" w:eastAsiaTheme="minorEastAsia"/>
          <w:b/>
          <w:color w:val="auto"/>
          <w:sz w:val="32"/>
          <w:szCs w:val="32"/>
          <w:lang w:eastAsia="zh-CN"/>
        </w:rPr>
      </w:pPr>
      <w:r>
        <w:rPr>
          <w:rFonts w:hint="eastAsia" w:asciiTheme="minorEastAsia" w:hAnsiTheme="minorEastAsia" w:eastAsiaTheme="minorEastAsia"/>
          <w:color w:val="auto"/>
          <w:sz w:val="32"/>
          <w:szCs w:val="32"/>
          <w:lang w:eastAsia="zh-CN"/>
        </w:rPr>
        <w:t>2021年</w:t>
      </w:r>
      <w:r>
        <w:rPr>
          <w:rFonts w:hint="eastAsia" w:asciiTheme="minorEastAsia" w:hAnsiTheme="minorEastAsia" w:eastAsiaTheme="minorEastAsia"/>
          <w:color w:val="auto"/>
          <w:sz w:val="32"/>
          <w:szCs w:val="32"/>
        </w:rPr>
        <w:t>度</w:t>
      </w:r>
      <w:r>
        <w:rPr>
          <w:rFonts w:hint="eastAsia" w:asciiTheme="minorEastAsia" w:hAnsiTheme="minorEastAsia" w:eastAsiaTheme="minorEastAsia"/>
          <w:color w:val="auto"/>
          <w:sz w:val="32"/>
          <w:szCs w:val="32"/>
          <w:lang w:eastAsia="zh-CN"/>
        </w:rPr>
        <w:t>本</w:t>
      </w:r>
      <w:r>
        <w:rPr>
          <w:rFonts w:hint="eastAsia" w:asciiTheme="minorEastAsia" w:hAnsiTheme="minorEastAsia" w:eastAsiaTheme="minorEastAsia"/>
          <w:color w:val="auto"/>
          <w:sz w:val="32"/>
          <w:szCs w:val="32"/>
        </w:rPr>
        <w:t>单位无国有资本经营预算财政拨款</w:t>
      </w:r>
      <w:r>
        <w:rPr>
          <w:rFonts w:hint="eastAsia" w:asciiTheme="minorEastAsia" w:hAnsiTheme="minorEastAsia" w:eastAsiaTheme="minorEastAsia"/>
          <w:color w:val="auto"/>
          <w:sz w:val="32"/>
          <w:szCs w:val="32"/>
          <w:lang w:eastAsia="zh-CN"/>
        </w:rPr>
        <w:t>支出</w:t>
      </w:r>
      <w:r>
        <w:rPr>
          <w:rFonts w:hint="eastAsia" w:asciiTheme="minorEastAsia" w:hAnsiTheme="minorEastAsia" w:eastAsiaTheme="minorEastAsia"/>
          <w:b/>
          <w:color w:val="auto"/>
          <w:sz w:val="32"/>
          <w:szCs w:val="32"/>
          <w:lang w:eastAsia="zh-CN"/>
        </w:rPr>
        <w:t>。</w:t>
      </w:r>
    </w:p>
    <w:p>
      <w:pPr>
        <w:pStyle w:val="11"/>
        <w:rPr>
          <w:rFonts w:hAnsi="黑体"/>
          <w:b/>
          <w:color w:val="auto"/>
          <w:sz w:val="32"/>
          <w:szCs w:val="32"/>
        </w:rPr>
      </w:pPr>
      <w:r>
        <w:rPr>
          <w:rFonts w:hint="eastAsia" w:hAnsi="黑体"/>
          <w:b/>
          <w:color w:val="auto"/>
          <w:sz w:val="32"/>
          <w:szCs w:val="32"/>
        </w:rPr>
        <w:t>十、机关运行经费支出说明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本部门2021年度机关运行经费支出</w:t>
      </w:r>
      <w:r>
        <w:rPr>
          <w:rFonts w:hint="eastAsia" w:asciiTheme="minorEastAsia" w:hAnsiTheme="minorEastAsia" w:eastAsiaTheme="minorEastAsia"/>
          <w:color w:val="auto"/>
          <w:sz w:val="32"/>
          <w:szCs w:val="32"/>
          <w:lang w:val="en-US" w:eastAsia="zh-CN"/>
        </w:rPr>
        <w:t>214.63</w:t>
      </w:r>
      <w:r>
        <w:rPr>
          <w:rFonts w:hint="eastAsia" w:asciiTheme="minorEastAsia" w:hAnsiTheme="minorEastAsia" w:eastAsiaTheme="minorEastAsia"/>
          <w:color w:val="auto"/>
          <w:sz w:val="32"/>
          <w:szCs w:val="32"/>
        </w:rPr>
        <w:t>万元，比年初预算数减少</w:t>
      </w:r>
      <w:r>
        <w:rPr>
          <w:rFonts w:hint="eastAsia" w:asciiTheme="minorEastAsia" w:hAnsiTheme="minorEastAsia" w:eastAsiaTheme="minorEastAsia"/>
          <w:color w:val="auto"/>
          <w:sz w:val="32"/>
          <w:szCs w:val="32"/>
          <w:lang w:val="en-US" w:eastAsia="zh-CN"/>
        </w:rPr>
        <w:t>4.31</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降低</w:t>
      </w:r>
      <w:r>
        <w:rPr>
          <w:rFonts w:hint="eastAsia" w:asciiTheme="minorEastAsia" w:hAnsiTheme="minorEastAsia" w:eastAsiaTheme="minorEastAsia"/>
          <w:color w:val="auto"/>
          <w:sz w:val="32"/>
          <w:szCs w:val="32"/>
          <w:lang w:val="en-US" w:eastAsia="zh-CN"/>
        </w:rPr>
        <w:t>1.97</w:t>
      </w:r>
      <w:r>
        <w:rPr>
          <w:rFonts w:hint="eastAsia" w:asciiTheme="minorEastAsia" w:hAnsiTheme="minorEastAsia" w:eastAsiaTheme="minorEastAsia"/>
          <w:color w:val="auto"/>
          <w:sz w:val="32"/>
          <w:szCs w:val="32"/>
        </w:rPr>
        <w:t>%。主要原因是：</w:t>
      </w:r>
      <w:r>
        <w:rPr>
          <w:rFonts w:hint="eastAsia" w:asciiTheme="minorEastAsia" w:hAnsiTheme="minorEastAsia" w:eastAsiaTheme="minorEastAsia"/>
          <w:color w:val="auto"/>
          <w:sz w:val="32"/>
          <w:szCs w:val="32"/>
          <w:lang w:val="en-US" w:eastAsia="zh-CN"/>
        </w:rPr>
        <w:t>积极响应“过紧日子”，倡导建设节约型机关，</w:t>
      </w:r>
      <w:r>
        <w:rPr>
          <w:rFonts w:hint="eastAsia" w:asciiTheme="minorEastAsia" w:hAnsiTheme="minorEastAsia" w:eastAsiaTheme="minorEastAsia"/>
          <w:color w:val="auto"/>
          <w:sz w:val="32"/>
          <w:szCs w:val="32"/>
          <w:lang w:eastAsia="zh-CN"/>
        </w:rPr>
        <w:t>厉行节约，严格控制机关运行经费在预算额度内开支</w:t>
      </w:r>
      <w:r>
        <w:rPr>
          <w:rFonts w:hint="eastAsia" w:asciiTheme="minorEastAsia" w:hAnsiTheme="minorEastAsia" w:eastAsiaTheme="minorEastAsia"/>
          <w:color w:val="auto"/>
          <w:sz w:val="32"/>
          <w:szCs w:val="32"/>
        </w:rPr>
        <w:t>。</w:t>
      </w:r>
    </w:p>
    <w:p>
      <w:pPr>
        <w:pStyle w:val="11"/>
        <w:rPr>
          <w:rFonts w:hAnsi="黑体"/>
          <w:b/>
          <w:color w:val="auto"/>
          <w:sz w:val="32"/>
          <w:szCs w:val="32"/>
        </w:rPr>
      </w:pPr>
      <w:r>
        <w:rPr>
          <w:rFonts w:hint="eastAsia" w:hAnsi="黑体"/>
          <w:b/>
          <w:color w:val="auto"/>
          <w:sz w:val="32"/>
          <w:szCs w:val="32"/>
        </w:rPr>
        <w:t>十一、一般性支出情况说明</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2021年本部门开支会议费</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万元；开支培训费</w:t>
      </w:r>
      <w:r>
        <w:rPr>
          <w:rFonts w:hint="eastAsia" w:asciiTheme="minorEastAsia" w:hAnsiTheme="minorEastAsia" w:eastAsiaTheme="minorEastAsia"/>
          <w:color w:val="auto"/>
          <w:sz w:val="32"/>
          <w:szCs w:val="32"/>
          <w:lang w:val="en-US" w:eastAsia="zh-CN"/>
        </w:rPr>
        <w:t>7.98</w:t>
      </w:r>
      <w:r>
        <w:rPr>
          <w:rFonts w:hint="eastAsia" w:asciiTheme="minorEastAsia" w:hAnsiTheme="minorEastAsia" w:eastAsiaTheme="minorEastAsia"/>
          <w:color w:val="auto"/>
          <w:sz w:val="32"/>
          <w:szCs w:val="32"/>
        </w:rPr>
        <w:t>万元，用于开展</w:t>
      </w:r>
      <w:r>
        <w:rPr>
          <w:rFonts w:hint="eastAsia" w:asciiTheme="minorEastAsia" w:hAnsiTheme="minorEastAsia" w:eastAsiaTheme="minorEastAsia"/>
          <w:color w:val="auto"/>
          <w:sz w:val="32"/>
          <w:szCs w:val="32"/>
          <w:lang w:val="en-US" w:eastAsia="zh-CN"/>
        </w:rPr>
        <w:t>党建和市场监管专项能力知识</w:t>
      </w:r>
      <w:r>
        <w:rPr>
          <w:rFonts w:hint="eastAsia" w:asciiTheme="minorEastAsia" w:hAnsiTheme="minorEastAsia" w:eastAsiaTheme="minorEastAsia"/>
          <w:color w:val="auto"/>
          <w:sz w:val="32"/>
          <w:szCs w:val="32"/>
        </w:rPr>
        <w:t>培训，人数</w:t>
      </w:r>
      <w:r>
        <w:rPr>
          <w:rFonts w:hint="eastAsia" w:asciiTheme="minorEastAsia" w:hAnsiTheme="minorEastAsia" w:eastAsiaTheme="minorEastAsia"/>
          <w:color w:val="auto"/>
          <w:sz w:val="32"/>
          <w:szCs w:val="32"/>
          <w:lang w:val="en-US" w:eastAsia="zh-CN"/>
        </w:rPr>
        <w:t>约800</w:t>
      </w:r>
      <w:r>
        <w:rPr>
          <w:rFonts w:hint="eastAsia" w:asciiTheme="minorEastAsia" w:hAnsiTheme="minorEastAsia" w:eastAsiaTheme="minorEastAsia"/>
          <w:color w:val="auto"/>
          <w:sz w:val="32"/>
          <w:szCs w:val="32"/>
        </w:rPr>
        <w:t>人，内容为</w:t>
      </w:r>
      <w:r>
        <w:rPr>
          <w:rFonts w:hint="eastAsia" w:asciiTheme="minorEastAsia" w:hAnsiTheme="minorEastAsia" w:eastAsiaTheme="minorEastAsia"/>
          <w:color w:val="auto"/>
          <w:sz w:val="32"/>
          <w:szCs w:val="32"/>
          <w:lang w:val="en-US" w:eastAsia="zh-CN"/>
        </w:rPr>
        <w:t>党风建设及市场监管业务学习</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2021年本部门没有</w:t>
      </w:r>
      <w:r>
        <w:rPr>
          <w:rFonts w:hint="eastAsia" w:asciiTheme="minorEastAsia" w:hAnsiTheme="minorEastAsia" w:eastAsiaTheme="minorEastAsia"/>
          <w:color w:val="auto"/>
          <w:sz w:val="32"/>
          <w:szCs w:val="32"/>
        </w:rPr>
        <w:t>举办节庆、晚会、论坛、赛事活动，开支</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p>
    <w:p>
      <w:pPr>
        <w:pStyle w:val="11"/>
        <w:rPr>
          <w:rFonts w:hAnsi="黑体"/>
          <w:b/>
          <w:color w:val="auto"/>
          <w:sz w:val="32"/>
          <w:szCs w:val="32"/>
        </w:rPr>
      </w:pPr>
      <w:r>
        <w:rPr>
          <w:rFonts w:hint="eastAsia" w:hAnsi="黑体"/>
          <w:b/>
          <w:color w:val="auto"/>
          <w:sz w:val="32"/>
          <w:szCs w:val="32"/>
        </w:rPr>
        <w:t>十二、政府采购支出说明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本部门2021年度政府采购支出总额</w:t>
      </w:r>
      <w:r>
        <w:rPr>
          <w:rFonts w:hint="eastAsia" w:asciiTheme="minorEastAsia" w:hAnsiTheme="minorEastAsia" w:eastAsiaTheme="minorEastAsia"/>
          <w:color w:val="auto"/>
          <w:sz w:val="32"/>
          <w:szCs w:val="32"/>
          <w:lang w:val="en-US" w:eastAsia="zh-CN"/>
        </w:rPr>
        <w:t>16.64</w:t>
      </w:r>
      <w:r>
        <w:rPr>
          <w:rFonts w:hint="eastAsia" w:asciiTheme="minorEastAsia" w:hAnsiTheme="minorEastAsia" w:eastAsiaTheme="minorEastAsia"/>
          <w:color w:val="auto"/>
          <w:sz w:val="32"/>
          <w:szCs w:val="32"/>
        </w:rPr>
        <w:t>万元，其中：政府采购货物支出</w:t>
      </w:r>
      <w:r>
        <w:rPr>
          <w:rFonts w:hint="eastAsia" w:asciiTheme="minorEastAsia" w:hAnsiTheme="minorEastAsia" w:eastAsiaTheme="minorEastAsia"/>
          <w:color w:val="auto"/>
          <w:sz w:val="32"/>
          <w:szCs w:val="32"/>
          <w:lang w:val="en-US" w:eastAsia="zh-CN"/>
        </w:rPr>
        <w:t>16.64</w:t>
      </w:r>
      <w:r>
        <w:rPr>
          <w:rFonts w:hint="eastAsia" w:asciiTheme="minorEastAsia" w:hAnsiTheme="minorEastAsia" w:eastAsiaTheme="minorEastAsia"/>
          <w:color w:val="auto"/>
          <w:sz w:val="32"/>
          <w:szCs w:val="32"/>
        </w:rPr>
        <w:t>万元、政府采购工程支出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万元、政府采购服务支出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万元。授予中小企业合同金额</w:t>
      </w:r>
      <w:r>
        <w:rPr>
          <w:rFonts w:hint="eastAsia" w:asciiTheme="minorEastAsia" w:hAnsiTheme="minorEastAsia" w:eastAsiaTheme="minorEastAsia"/>
          <w:color w:val="auto"/>
          <w:sz w:val="32"/>
          <w:szCs w:val="32"/>
          <w:lang w:val="en-US" w:eastAsia="zh-CN"/>
        </w:rPr>
        <w:t>16.64</w:t>
      </w:r>
      <w:r>
        <w:rPr>
          <w:rFonts w:hint="eastAsia" w:asciiTheme="minorEastAsia" w:hAnsiTheme="minorEastAsia" w:eastAsiaTheme="minorEastAsia"/>
          <w:color w:val="auto"/>
          <w:sz w:val="32"/>
          <w:szCs w:val="32"/>
        </w:rPr>
        <w:t>万元，占政府采购支出总额的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%，其中：授予小微企业合同金额</w:t>
      </w:r>
      <w:r>
        <w:rPr>
          <w:rFonts w:hint="eastAsia" w:asciiTheme="minorEastAsia" w:hAnsiTheme="minorEastAsia" w:eastAsiaTheme="minorEastAsia"/>
          <w:color w:val="auto"/>
          <w:sz w:val="32"/>
          <w:szCs w:val="32"/>
          <w:lang w:val="en-US" w:eastAsia="zh-CN"/>
        </w:rPr>
        <w:t>16.64</w:t>
      </w:r>
      <w:r>
        <w:rPr>
          <w:rFonts w:hint="eastAsia" w:asciiTheme="minorEastAsia" w:hAnsiTheme="minorEastAsia" w:eastAsiaTheme="minorEastAsia"/>
          <w:color w:val="auto"/>
          <w:sz w:val="32"/>
          <w:szCs w:val="32"/>
        </w:rPr>
        <w:t>万元，占授予中小企业合同金额的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%；货物采购授予中小企业合同金额占货物支出金额的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w:t>
      </w:r>
    </w:p>
    <w:p>
      <w:pPr>
        <w:pStyle w:val="11"/>
        <w:rPr>
          <w:rFonts w:hAnsi="黑体"/>
          <w:b/>
          <w:color w:val="auto"/>
          <w:sz w:val="32"/>
          <w:szCs w:val="32"/>
        </w:rPr>
      </w:pPr>
      <w:r>
        <w:rPr>
          <w:rFonts w:hint="eastAsia" w:hAnsi="黑体"/>
          <w:b/>
          <w:color w:val="auto"/>
          <w:sz w:val="32"/>
          <w:szCs w:val="32"/>
        </w:rPr>
        <w:t>十三、国有资产占用情况说明</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截至2021年12月31日，部门（单位）共有车辆</w:t>
      </w:r>
      <w:r>
        <w:rPr>
          <w:rFonts w:hint="eastAsia" w:asciiTheme="minorEastAsia" w:hAnsiTheme="minorEastAsia" w:eastAsiaTheme="minorEastAsia"/>
          <w:color w:val="auto"/>
          <w:sz w:val="32"/>
          <w:szCs w:val="32"/>
          <w:lang w:val="en-US" w:eastAsia="zh-CN"/>
        </w:rPr>
        <w:t>8</w:t>
      </w:r>
      <w:r>
        <w:rPr>
          <w:rFonts w:hint="eastAsia" w:asciiTheme="minorEastAsia" w:hAnsiTheme="minorEastAsia" w:eastAsiaTheme="minorEastAsia"/>
          <w:color w:val="auto"/>
          <w:sz w:val="32"/>
          <w:szCs w:val="32"/>
        </w:rPr>
        <w:t>辆，其中，机要通信用车</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辆、执法执勤用车</w:t>
      </w:r>
      <w:r>
        <w:rPr>
          <w:rFonts w:hint="eastAsia" w:asciiTheme="minorEastAsia" w:hAnsiTheme="minorEastAsia" w:eastAsiaTheme="minorEastAsia"/>
          <w:color w:val="auto"/>
          <w:sz w:val="32"/>
          <w:szCs w:val="32"/>
          <w:lang w:val="en-US" w:eastAsia="zh-CN"/>
        </w:rPr>
        <w:t>7</w:t>
      </w:r>
      <w:r>
        <w:rPr>
          <w:rFonts w:hint="eastAsia" w:asciiTheme="minorEastAsia" w:hAnsiTheme="minorEastAsia" w:eastAsiaTheme="minorEastAsia"/>
          <w:color w:val="auto"/>
          <w:sz w:val="32"/>
          <w:szCs w:val="32"/>
        </w:rPr>
        <w:t>辆；单位价值50万元以上通用设备</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台（套）；单位价值100万元以上专用设备</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台（套）。</w:t>
      </w:r>
    </w:p>
    <w:p>
      <w:pPr>
        <w:pStyle w:val="11"/>
        <w:rPr>
          <w:rFonts w:hAnsi="黑体"/>
          <w:b/>
          <w:color w:val="auto"/>
          <w:sz w:val="32"/>
          <w:szCs w:val="32"/>
        </w:rPr>
      </w:pPr>
      <w:r>
        <w:rPr>
          <w:rFonts w:hint="eastAsia" w:hAnsi="黑体"/>
          <w:b/>
          <w:color w:val="auto"/>
          <w:sz w:val="32"/>
          <w:szCs w:val="32"/>
          <w:lang w:eastAsia="zh-CN"/>
        </w:rPr>
        <w:t>十四、</w:t>
      </w:r>
      <w:r>
        <w:rPr>
          <w:rFonts w:hint="eastAsia" w:hAnsi="黑体"/>
          <w:b/>
          <w:color w:val="auto"/>
          <w:sz w:val="32"/>
          <w:szCs w:val="32"/>
        </w:rPr>
        <w:t>2021年度预算绩效情况说明</w:t>
      </w:r>
    </w:p>
    <w:p>
      <w:pPr>
        <w:pStyle w:val="11"/>
        <w:ind w:firstLine="640" w:firstLineChars="200"/>
        <w:rPr>
          <w:rFonts w:hint="default"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eastAsia="zh-CN"/>
        </w:rPr>
        <w:t>岳阳市经济技术开发区市场监管局</w:t>
      </w:r>
      <w:bookmarkStart w:id="0" w:name="_GoBack"/>
      <w:bookmarkEnd w:id="0"/>
      <w:r>
        <w:rPr>
          <w:rFonts w:hint="eastAsia" w:asciiTheme="minorEastAsia" w:hAnsiTheme="minorEastAsia" w:eastAsiaTheme="minorEastAsia" w:cstheme="minorEastAsia"/>
          <w:color w:val="auto"/>
          <w:sz w:val="32"/>
          <w:szCs w:val="32"/>
          <w:lang w:eastAsia="zh-CN"/>
        </w:rPr>
        <w:t>为岳阳市市场监督管理局所属二级机构，</w:t>
      </w:r>
      <w:r>
        <w:rPr>
          <w:rFonts w:hint="eastAsia" w:asciiTheme="minorEastAsia" w:hAnsiTheme="minorEastAsia" w:eastAsiaTheme="minorEastAsia" w:cstheme="minorEastAsia"/>
          <w:color w:val="auto"/>
          <w:sz w:val="32"/>
          <w:szCs w:val="32"/>
          <w:lang w:val="en-US" w:eastAsia="zh-CN"/>
        </w:rPr>
        <w:t>2021年部门整体及项目绩效评价按要求由部门作汇总绩效评价，2021年单位预算绩效情况见附件岳阳市市场监督管局部门整体绩效评价报告。</w:t>
      </w: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rFonts w:hint="eastAsia"/>
          <w:color w:val="auto"/>
          <w:sz w:val="72"/>
          <w:szCs w:val="72"/>
        </w:rPr>
      </w:pPr>
    </w:p>
    <w:p>
      <w:pPr>
        <w:pStyle w:val="11"/>
        <w:jc w:val="center"/>
        <w:rPr>
          <w:color w:val="auto"/>
          <w:sz w:val="72"/>
          <w:szCs w:val="72"/>
        </w:rPr>
      </w:pPr>
      <w:r>
        <w:rPr>
          <w:rFonts w:hint="eastAsia"/>
          <w:color w:val="auto"/>
          <w:sz w:val="72"/>
          <w:szCs w:val="72"/>
        </w:rPr>
        <w:t>第四部分</w:t>
      </w:r>
    </w:p>
    <w:p>
      <w:pPr>
        <w:jc w:val="center"/>
        <w:rPr>
          <w:rFonts w:ascii="黑体" w:eastAsia="黑体" w:cs="黑体"/>
          <w:color w:val="auto"/>
          <w:kern w:val="0"/>
          <w:sz w:val="70"/>
          <w:szCs w:val="70"/>
        </w:rPr>
      </w:pPr>
    </w:p>
    <w:p>
      <w:pPr>
        <w:jc w:val="center"/>
        <w:rPr>
          <w:rFonts w:ascii="黑体" w:eastAsia="黑体" w:cs="黑体"/>
          <w:color w:val="auto"/>
          <w:kern w:val="0"/>
          <w:sz w:val="70"/>
          <w:szCs w:val="70"/>
        </w:rPr>
      </w:pPr>
      <w:r>
        <w:rPr>
          <w:rFonts w:hint="eastAsia" w:ascii="黑体" w:eastAsia="黑体" w:cs="黑体"/>
          <w:color w:val="auto"/>
          <w:kern w:val="0"/>
          <w:sz w:val="70"/>
          <w:szCs w:val="70"/>
        </w:rPr>
        <w:t>名词解释</w:t>
      </w:r>
    </w:p>
    <w:p>
      <w:pPr>
        <w:widowControl/>
        <w:jc w:val="left"/>
        <w:rPr>
          <w:rFonts w:ascii="黑体" w:eastAsia="黑体" w:cs="黑体"/>
          <w:color w:val="auto"/>
          <w:kern w:val="0"/>
          <w:sz w:val="70"/>
          <w:szCs w:val="70"/>
        </w:rPr>
      </w:pPr>
      <w:r>
        <w:rPr>
          <w:rFonts w:ascii="黑体" w:eastAsia="黑体" w:cs="黑体"/>
          <w:color w:val="auto"/>
          <w:kern w:val="0"/>
          <w:sz w:val="70"/>
          <w:szCs w:val="70"/>
        </w:rPr>
        <w:br w:type="page"/>
      </w:r>
    </w:p>
    <w:p>
      <w:pPr>
        <w:ind w:firstLine="640" w:firstLineChars="200"/>
        <w:jc w:val="left"/>
        <w:rPr>
          <w:rFonts w:cs="黑体" w:asciiTheme="minorEastAsia" w:hAnsiTheme="minorEastAsia"/>
          <w:color w:val="auto"/>
          <w:kern w:val="0"/>
          <w:sz w:val="32"/>
          <w:szCs w:val="32"/>
        </w:rPr>
      </w:pPr>
    </w:p>
    <w:p>
      <w:pPr>
        <w:widowControl/>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一、财政拨款收入：是指市级财政当年拨付的资金。</w:t>
      </w:r>
    </w:p>
    <w:p>
      <w:pPr>
        <w:widowControl/>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二、年初结转和结余：是指以前年度支出预算因客观条件变化未执行完毕、结转到本年度按有关规定继续使用的资金。</w:t>
      </w:r>
    </w:p>
    <w:p>
      <w:pPr>
        <w:widowControl/>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三、基本支出：是指为保障机构正常运转、完成日常工作任务所必需的开支，其内容包括人员经费和日常公用经费两部分。</w:t>
      </w:r>
    </w:p>
    <w:p>
      <w:pPr>
        <w:widowControl/>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四、项目支出：是指在基本支出之外，为完成特定的行政工作任务或事业发展目标所发生的支出。</w:t>
      </w:r>
    </w:p>
    <w:p>
      <w:pPr>
        <w:widowControl/>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五、一般公共服务（类）：是指用于保障机构正常运行、开展业务等活动的支出。行政运行（项）：是指为保障市委政法委各行政机构正常运转、完成日常工作任务安排的支出。</w:t>
      </w:r>
    </w:p>
    <w:p>
      <w:pPr>
        <w:widowControl/>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七、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pStyle w:val="11"/>
        <w:jc w:val="center"/>
        <w:rPr>
          <w:color w:val="auto"/>
          <w:sz w:val="72"/>
          <w:szCs w:val="72"/>
        </w:rPr>
      </w:pPr>
    </w:p>
    <w:p>
      <w:pPr>
        <w:pStyle w:val="11"/>
        <w:jc w:val="both"/>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r>
        <w:rPr>
          <w:rFonts w:hint="eastAsia"/>
          <w:color w:val="auto"/>
          <w:sz w:val="72"/>
          <w:szCs w:val="72"/>
        </w:rPr>
        <w:t>第五部分</w:t>
      </w:r>
    </w:p>
    <w:p>
      <w:pPr>
        <w:jc w:val="center"/>
        <w:rPr>
          <w:rFonts w:ascii="黑体" w:eastAsia="黑体" w:cs="黑体"/>
          <w:color w:val="auto"/>
          <w:kern w:val="0"/>
          <w:sz w:val="70"/>
          <w:szCs w:val="70"/>
        </w:rPr>
      </w:pPr>
    </w:p>
    <w:p>
      <w:pPr>
        <w:jc w:val="center"/>
        <w:rPr>
          <w:rFonts w:ascii="黑体" w:eastAsia="黑体" w:cs="黑体"/>
          <w:color w:val="auto"/>
          <w:kern w:val="0"/>
          <w:sz w:val="70"/>
          <w:szCs w:val="70"/>
        </w:rPr>
      </w:pPr>
      <w:r>
        <w:rPr>
          <w:rFonts w:hint="eastAsia" w:ascii="黑体" w:eastAsia="黑体" w:cs="黑体"/>
          <w:color w:val="auto"/>
          <w:kern w:val="0"/>
          <w:sz w:val="70"/>
          <w:szCs w:val="70"/>
        </w:rPr>
        <w:t>附件</w:t>
      </w:r>
    </w:p>
    <w:p>
      <w:pPr>
        <w:widowControl/>
        <w:jc w:val="left"/>
        <w:rPr>
          <w:rFonts w:ascii="黑体" w:eastAsia="黑体" w:cs="黑体"/>
          <w:color w:val="auto"/>
          <w:kern w:val="0"/>
          <w:sz w:val="70"/>
          <w:szCs w:val="70"/>
        </w:rPr>
      </w:pPr>
      <w:r>
        <w:rPr>
          <w:rFonts w:ascii="黑体" w:eastAsia="黑体" w:cs="黑体"/>
          <w:color w:val="auto"/>
          <w:kern w:val="0"/>
          <w:sz w:val="70"/>
          <w:szCs w:val="70"/>
        </w:rPr>
        <w:br w:type="page"/>
      </w:r>
    </w:p>
    <w:p>
      <w:pPr>
        <w:ind w:firstLine="640" w:firstLineChars="200"/>
        <w:jc w:val="left"/>
        <w:rPr>
          <w:rFonts w:hint="eastAsia" w:cs="黑体" w:asciiTheme="minorEastAsia" w:hAnsiTheme="minorEastAsia" w:eastAsiaTheme="minorEastAsia"/>
          <w:b/>
          <w:color w:val="auto"/>
          <w:kern w:val="0"/>
          <w:sz w:val="32"/>
          <w:szCs w:val="32"/>
          <w:u w:val="none"/>
          <w:lang w:val="en-US" w:eastAsia="zh-CN"/>
        </w:rPr>
      </w:pPr>
      <w:r>
        <w:rPr>
          <w:rFonts w:hint="eastAsia" w:cs="黑体" w:asciiTheme="minorEastAsia" w:hAnsiTheme="minorEastAsia"/>
          <w:b/>
          <w:color w:val="auto"/>
          <w:kern w:val="0"/>
          <w:sz w:val="32"/>
          <w:szCs w:val="32"/>
          <w:lang w:val="en-US" w:eastAsia="zh-CN"/>
        </w:rPr>
        <w:t>1、</w:t>
      </w:r>
      <w:r>
        <w:rPr>
          <w:rFonts w:hint="eastAsia" w:cs="黑体" w:asciiTheme="minorEastAsia" w:hAnsiTheme="minorEastAsia"/>
          <w:b/>
          <w:color w:val="auto"/>
          <w:kern w:val="0"/>
          <w:sz w:val="32"/>
          <w:szCs w:val="32"/>
          <w:u w:val="none"/>
          <w:lang w:val="en-US" w:eastAsia="zh-CN"/>
        </w:rPr>
        <w:fldChar w:fldCharType="begin"/>
      </w:r>
      <w:r>
        <w:rPr>
          <w:rFonts w:hint="eastAsia" w:cs="黑体" w:asciiTheme="minorEastAsia" w:hAnsiTheme="minorEastAsia"/>
          <w:b/>
          <w:color w:val="auto"/>
          <w:kern w:val="0"/>
          <w:sz w:val="32"/>
          <w:szCs w:val="32"/>
          <w:u w:val="none"/>
          <w:lang w:val="en-US" w:eastAsia="zh-CN"/>
        </w:rPr>
        <w:instrText xml:space="preserve"> HYPERLINK "岳阳市市场监督管理局岳阳经济技术开发区分局.XLS.xls" </w:instrText>
      </w:r>
      <w:r>
        <w:rPr>
          <w:rFonts w:hint="eastAsia" w:cs="黑体" w:asciiTheme="minorEastAsia" w:hAnsiTheme="minorEastAsia"/>
          <w:b/>
          <w:color w:val="auto"/>
          <w:kern w:val="0"/>
          <w:sz w:val="32"/>
          <w:szCs w:val="32"/>
          <w:u w:val="none"/>
          <w:lang w:val="en-US" w:eastAsia="zh-CN"/>
        </w:rPr>
        <w:fldChar w:fldCharType="separate"/>
      </w:r>
      <w:r>
        <w:rPr>
          <w:rStyle w:val="7"/>
          <w:rFonts w:hint="eastAsia" w:cs="黑体" w:asciiTheme="minorEastAsia" w:hAnsiTheme="minorEastAsia"/>
          <w:b/>
          <w:color w:val="auto"/>
          <w:kern w:val="0"/>
          <w:sz w:val="32"/>
          <w:szCs w:val="32"/>
          <w:u w:val="none"/>
          <w:lang w:val="en-US" w:eastAsia="zh-CN"/>
        </w:rPr>
        <w:t>2021年部门决算公开表格</w:t>
      </w:r>
      <w:r>
        <w:rPr>
          <w:rFonts w:hint="eastAsia" w:cs="黑体" w:asciiTheme="minorEastAsia" w:hAnsiTheme="minorEastAsia"/>
          <w:b/>
          <w:color w:val="auto"/>
          <w:kern w:val="0"/>
          <w:sz w:val="32"/>
          <w:szCs w:val="32"/>
          <w:u w:val="none"/>
          <w:lang w:val="en-US" w:eastAsia="zh-CN"/>
        </w:rPr>
        <w:fldChar w:fldCharType="end"/>
      </w:r>
    </w:p>
    <w:p>
      <w:pPr>
        <w:ind w:firstLine="640" w:firstLineChars="200"/>
        <w:jc w:val="left"/>
        <w:rPr>
          <w:rFonts w:cs="黑体" w:asciiTheme="minorEastAsia" w:hAnsiTheme="minorEastAsia"/>
          <w:b/>
          <w:color w:val="auto"/>
          <w:kern w:val="0"/>
          <w:sz w:val="32"/>
          <w:szCs w:val="32"/>
        </w:rPr>
      </w:pPr>
      <w:r>
        <w:rPr>
          <w:rFonts w:hint="eastAsia" w:cs="黑体" w:asciiTheme="minorEastAsia" w:hAnsiTheme="minorEastAsia"/>
          <w:b/>
          <w:color w:val="auto"/>
          <w:kern w:val="0"/>
          <w:sz w:val="32"/>
          <w:szCs w:val="32"/>
          <w:lang w:val="en-US" w:eastAsia="zh-CN"/>
        </w:rPr>
        <w:t>2、</w:t>
      </w:r>
      <w:r>
        <w:rPr>
          <w:rFonts w:hint="eastAsia" w:cs="黑体" w:asciiTheme="minorEastAsia" w:hAnsiTheme="minorEastAsia"/>
          <w:b/>
          <w:color w:val="auto"/>
          <w:kern w:val="0"/>
          <w:sz w:val="32"/>
          <w:szCs w:val="32"/>
        </w:rPr>
        <w:t>2021年度部门整体支出绩效评价报告</w:t>
      </w:r>
    </w:p>
    <w:p>
      <w:pPr>
        <w:ind w:firstLine="640" w:firstLineChars="200"/>
        <w:jc w:val="left"/>
        <w:rPr>
          <w:rFonts w:cs="黑体" w:asciiTheme="minorEastAsia" w:hAnsiTheme="minorEastAsia"/>
          <w:color w:val="auto"/>
          <w:kern w:val="0"/>
          <w:sz w:val="32"/>
          <w:szCs w:val="32"/>
        </w:rPr>
      </w:pPr>
    </w:p>
    <w:p>
      <w:pPr>
        <w:ind w:firstLine="640" w:firstLineChars="200"/>
        <w:jc w:val="left"/>
        <w:rPr>
          <w:rFonts w:cs="黑体" w:asciiTheme="minorEastAsia" w:hAnsiTheme="minorEastAsia"/>
          <w:color w:val="auto"/>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D58F696C"/>
    <w:multiLevelType w:val="singleLevel"/>
    <w:tmpl w:val="D58F696C"/>
    <w:lvl w:ilvl="0" w:tentative="0">
      <w:start w:val="1"/>
      <w:numFmt w:val="decimal"/>
      <w:suff w:val="nothing"/>
      <w:lvlText w:val="%1、"/>
      <w:lvlJc w:val="left"/>
    </w:lvl>
  </w:abstractNum>
  <w:abstractNum w:abstractNumId="2">
    <w:nsid w:val="EDFCBEAC"/>
    <w:multiLevelType w:val="singleLevel"/>
    <w:tmpl w:val="EDFCBEAC"/>
    <w:lvl w:ilvl="0" w:tentative="0">
      <w:start w:val="1"/>
      <w:numFmt w:val="chineseCounting"/>
      <w:suff w:val="nothing"/>
      <w:lvlText w:val="（%1）"/>
      <w:lvlJc w:val="left"/>
      <w:pPr>
        <w:ind w:left="-10"/>
      </w:pPr>
      <w:rPr>
        <w:rFonts w:hint="eastAsia"/>
      </w:r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7EBE8BE"/>
    <w:multiLevelType w:val="singleLevel"/>
    <w:tmpl w:val="57EBE8BE"/>
    <w:lvl w:ilvl="0" w:tentative="0">
      <w:start w:val="3"/>
      <w:numFmt w:val="decimal"/>
      <w:suff w:val="nothing"/>
      <w:lvlText w:val="%1、"/>
      <w:lvlJc w:val="left"/>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ODY1MTIwMzc4ZmIwZGVjZjk2MWYwMGZlZjM0MzE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8C16D6"/>
    <w:rsid w:val="025A1831"/>
    <w:rsid w:val="05633A58"/>
    <w:rsid w:val="06B411F0"/>
    <w:rsid w:val="087403E0"/>
    <w:rsid w:val="0A4505E1"/>
    <w:rsid w:val="0BE56081"/>
    <w:rsid w:val="105C0615"/>
    <w:rsid w:val="13BE003E"/>
    <w:rsid w:val="179F6564"/>
    <w:rsid w:val="17A87124"/>
    <w:rsid w:val="1AFC3108"/>
    <w:rsid w:val="26CB1A16"/>
    <w:rsid w:val="27DB542D"/>
    <w:rsid w:val="290A03D1"/>
    <w:rsid w:val="2F9FB501"/>
    <w:rsid w:val="31CC3DA7"/>
    <w:rsid w:val="366364DD"/>
    <w:rsid w:val="370B6762"/>
    <w:rsid w:val="3F125FDD"/>
    <w:rsid w:val="417D62D7"/>
    <w:rsid w:val="42010CB6"/>
    <w:rsid w:val="45F9639D"/>
    <w:rsid w:val="48ED43E7"/>
    <w:rsid w:val="49BA174B"/>
    <w:rsid w:val="4D5457D4"/>
    <w:rsid w:val="4D711B5E"/>
    <w:rsid w:val="4EFC5595"/>
    <w:rsid w:val="57084C89"/>
    <w:rsid w:val="58C37485"/>
    <w:rsid w:val="60A907EA"/>
    <w:rsid w:val="6145544E"/>
    <w:rsid w:val="64465BB8"/>
    <w:rsid w:val="6AD246EE"/>
    <w:rsid w:val="6B7C0118"/>
    <w:rsid w:val="7132391D"/>
    <w:rsid w:val="7EC50B3D"/>
    <w:rsid w:val="7F313C82"/>
    <w:rsid w:val="7FF800A0"/>
    <w:rsid w:val="B7FFC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800080"/>
      <w:u w:val="single"/>
    </w:rPr>
  </w:style>
  <w:style w:type="character" w:styleId="8">
    <w:name w:val="Hyperlink"/>
    <w:basedOn w:val="6"/>
    <w:semiHidden/>
    <w:unhideWhenUsed/>
    <w:qFormat/>
    <w:uiPriority w:val="99"/>
    <w:rPr>
      <w:color w:val="0000FF"/>
      <w:u w:val="single"/>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4496</Words>
  <Characters>4962</Characters>
  <Lines>69</Lines>
  <Paragraphs>19</Paragraphs>
  <TotalTime>1</TotalTime>
  <ScaleCrop>false</ScaleCrop>
  <LinksUpToDate>false</LinksUpToDate>
  <CharactersWithSpaces>4973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2020-07-03T02:32:00Z</dcterms:created>
  <dc:creator>李航 null</dc:creator>
  <cp:lastModifiedBy>瑶瑶</cp:lastModifiedBy>
  <cp:lastPrinted>2022-07-28T12:55:00Z</cp:lastPrinted>
  <dcterms:modified xsi:type="dcterms:W3CDTF">2023-09-21T17:30:42Z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BD56C4F838794B51B2F4B9AE131F37CC</vt:lpwstr>
  </property>
</Properties>
</file>