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rFonts w:hint="eastAsia"/>
          <w:sz w:val="56"/>
          <w:szCs w:val="56"/>
        </w:rPr>
      </w:pP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sz w:val="52"/>
          <w:szCs w:val="52"/>
        </w:rPr>
      </w:pPr>
      <w:r>
        <w:rPr>
          <w:rFonts w:hint="eastAsia"/>
          <w:sz w:val="52"/>
          <w:szCs w:val="52"/>
        </w:rPr>
        <w:t>2021年度</w:t>
      </w:r>
    </w:p>
    <w:p>
      <w:pPr>
        <w:pStyle w:val="13"/>
        <w:jc w:val="center"/>
        <w:rPr>
          <w:rFonts w:hint="eastAsia"/>
          <w:sz w:val="52"/>
          <w:szCs w:val="52"/>
        </w:rPr>
      </w:pPr>
      <w:r>
        <w:rPr>
          <w:rFonts w:hint="eastAsia"/>
          <w:sz w:val="52"/>
          <w:szCs w:val="52"/>
        </w:rPr>
        <w:t>岳阳市市场监督管理局城陵矶新港区分局</w:t>
      </w:r>
    </w:p>
    <w:p>
      <w:pPr>
        <w:pStyle w:val="13"/>
        <w:jc w:val="center"/>
        <w:rPr>
          <w:sz w:val="84"/>
          <w:szCs w:val="84"/>
        </w:rPr>
      </w:pPr>
      <w:r>
        <w:rPr>
          <w:rFonts w:hint="eastAsia"/>
          <w:sz w:val="52"/>
          <w:szCs w:val="52"/>
        </w:rPr>
        <w:t>部门决算</w:t>
      </w:r>
    </w:p>
    <w:p>
      <w:pPr>
        <w:pStyle w:val="13"/>
        <w:jc w:val="center"/>
        <w:rPr>
          <w:sz w:val="56"/>
          <w:szCs w:val="56"/>
        </w:rPr>
        <w:sectPr>
          <w:pgSz w:w="11906" w:h="16838"/>
          <w:pgMar w:top="720" w:right="720" w:bottom="720" w:left="720" w:header="851" w:footer="992" w:gutter="0"/>
          <w:cols w:space="425" w:num="1"/>
          <w:docGrid w:type="lines" w:linePitch="312" w:charSpace="0"/>
        </w:sectPr>
      </w:pPr>
    </w:p>
    <w:p>
      <w:pPr>
        <w:pStyle w:val="13"/>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3"/>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w:t>
      </w:r>
      <w:r>
        <w:rPr>
          <w:rFonts w:hint="eastAsia"/>
          <w:b/>
          <w:sz w:val="28"/>
          <w:szCs w:val="28"/>
        </w:rPr>
        <w:t>岳阳市市场监督管理局城陵矶新港区分局单位概况</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default" w:cs="仿宋_GB2312" w:asciiTheme="minorEastAsia" w:hAnsiTheme="minorEastAsia" w:eastAsiaTheme="minorEastAsia"/>
          <w:sz w:val="28"/>
          <w:szCs w:val="28"/>
          <w:lang w:val="en-US"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val="en-US" w:eastAsia="zh-CN"/>
        </w:rPr>
        <w:t>及决算单位构成</w:t>
      </w:r>
    </w:p>
    <w:p>
      <w:pPr>
        <w:pStyle w:val="13"/>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3"/>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sz w:val="72"/>
          <w:szCs w:val="72"/>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sz w:val="44"/>
          <w:szCs w:val="44"/>
        </w:rPr>
      </w:pPr>
      <w:r>
        <w:rPr>
          <w:rFonts w:hint="eastAsia"/>
          <w:sz w:val="44"/>
          <w:szCs w:val="44"/>
        </w:rPr>
        <w:t>第一部分</w:t>
      </w:r>
      <w:r>
        <w:rPr>
          <w:sz w:val="44"/>
          <w:szCs w:val="44"/>
        </w:rPr>
        <w:t xml:space="preserve"> </w:t>
      </w:r>
    </w:p>
    <w:p>
      <w:pPr>
        <w:pStyle w:val="13"/>
        <w:jc w:val="center"/>
        <w:rPr>
          <w:sz w:val="44"/>
          <w:szCs w:val="44"/>
        </w:rPr>
      </w:pPr>
    </w:p>
    <w:p>
      <w:pPr>
        <w:pStyle w:val="13"/>
        <w:jc w:val="center"/>
        <w:rPr>
          <w:sz w:val="44"/>
          <w:szCs w:val="44"/>
        </w:rPr>
      </w:pPr>
      <w:r>
        <w:rPr>
          <w:rFonts w:hint="eastAsia"/>
          <w:sz w:val="44"/>
          <w:szCs w:val="44"/>
        </w:rPr>
        <w:t>岳阳市市场监督管理局城陵矶新港区分局单位概况</w:t>
      </w:r>
    </w:p>
    <w:p>
      <w:pPr>
        <w:pStyle w:val="14"/>
        <w:numPr>
          <w:ilvl w:val="0"/>
          <w:numId w:val="0"/>
        </w:numPr>
        <w:ind w:leftChars="0"/>
        <w:jc w:val="left"/>
        <w:rPr>
          <w:rFonts w:ascii="黑体" w:hAnsi="黑体" w:eastAsia="黑体"/>
          <w:sz w:val="32"/>
          <w:szCs w:val="32"/>
        </w:rPr>
      </w:pPr>
    </w:p>
    <w:p>
      <w:pPr>
        <w:pStyle w:val="14"/>
        <w:numPr>
          <w:ilvl w:val="0"/>
          <w:numId w:val="0"/>
        </w:numPr>
        <w:ind w:leftChars="0" w:firstLine="640" w:firstLineChars="200"/>
        <w:jc w:val="left"/>
        <w:rPr>
          <w:rFonts w:ascii="黑体" w:hAnsi="黑体" w:eastAsia="黑体"/>
          <w:sz w:val="32"/>
          <w:szCs w:val="32"/>
        </w:rPr>
      </w:pPr>
      <w:r>
        <w:rPr>
          <w:rFonts w:hint="eastAsia" w:ascii="黑体" w:hAnsi="黑体" w:eastAsia="黑体"/>
          <w:sz w:val="32"/>
          <w:szCs w:val="32"/>
          <w:lang w:val="en-US" w:eastAsia="zh-CN"/>
        </w:rPr>
        <w:t>一、</w:t>
      </w:r>
      <w:r>
        <w:rPr>
          <w:rFonts w:ascii="黑体" w:hAnsi="黑体" w:eastAsia="黑体"/>
          <w:sz w:val="32"/>
          <w:szCs w:val="32"/>
        </w:rPr>
        <w:t>部门职责</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一）负责市场综合监督管理。贯彻执行国家市场监督管理的方针、政策和法律法规规章，组织实施质量强区、食品安全、标准化和知识产权等战略，拟订并组织实施有关规划，规范和维护市场秩序，营造诚实守信、公平竞争的市场环境。</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二）负责市场主体统一登记注册工作。负责新港区各类企业、农民专业合作社和从事经营活动的单位、个体工商户等市场主体的登记注册工作。建立市场主体信息公示和共享机制，依法公示和共享有关信息，加强信用监管，推动市场主体信用体系建设。</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（三）负责组织指导市场监管综合执法工作。完善全区市场监管综合执法队伍整合和建设，推动实行统一的市场监管。组织查处违法案件。规范市场监管行政执法行为。</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（四）</w:t>
      </w:r>
      <w:r>
        <w:rPr>
          <w:rFonts w:ascii="仿宋_GB2312" w:hAnsi="仿宋_GB2312" w:cs="仿宋_GB2312"/>
          <w:color w:val="000000"/>
          <w:kern w:val="0"/>
          <w:sz w:val="28"/>
          <w:szCs w:val="28"/>
        </w:rPr>
        <w:t xml:space="preserve"> </w:t>
      </w:r>
      <w:r>
        <w:rPr>
          <w:rFonts w:hint="eastAsia" w:ascii="仿宋_GB2312" w:hAnsi="仿宋_GB2312" w:cs="仿宋_GB2312"/>
          <w:color w:val="000000"/>
          <w:kern w:val="0"/>
          <w:sz w:val="28"/>
          <w:szCs w:val="28"/>
        </w:rPr>
        <w:t>依委托开展反垄断统一执法调查工作。依委托协助开展垄断协议、滥用市场支配地位和滥用行政权力排除、限制竞争等反垄断执法调查工作。</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五）负责监督管理市场秩序。依法监督管理市场交易、网络商品交易及有关服务的行为。组织指导查处价格收费违法违规、不正当竞争、违法直销、传销、侵犯商标专利知识产权和制售假冒伪劣行为。依法实施合同、拍卖行为的监督管理，管理动产抵押物登记。指导广告业的发展，监督管理广告活动。承担依法查处无照生产经营和相关无证生产经营行为。</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六）负责宏观质量管理。贯彻国家、省、市质量发展的有关政策，拟订推进质量发展战略的政策措施并组织实施，对新港区质量管理工作进行宏观指导。组织实施质量奖励制度，积极推进质量强区战略和品牌建设，推动建立产品质量诚信制度；负责政府质量工作考核；组织实施产品和服务质量提升、开展服务质量监测；按规定权限组织对产品质量事故调查，配合实施缺陷产品召回制度，监督管理产品防伪工作。</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（七）负责产品质量安全监督管理。负责产品质量安全监督抽查和风险监控工作，组织实施质量分级制度、质量安全追溯制度。负责工业产品生产许可管理。负责纤维质量监督检验工作。</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八）负责特种设备安全监督管理。综合管理特种设备安全监察、监督工作，监督检查高耗能特种设备节能标准和锅炉生产、进口、销售环节环境保护标准的执行情况。按规定权限组织调查处理特种设备事故并进行统计分析。</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（九）负责城陵矶新港区食品安全监督管理综合协调。负责食品安全应急体系建设，组织食品安全事件应急处置和调查处理工作。落实食品安全重要信息直报制度。</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十）负责城陵矶新港区食品安全监督管理。建立覆盖食品生产、流通、消费全过程的监督检查制度和隐患排查治理机制并组织实施，防范区域性、系统性食品安全风险。推动建立食品生产经营者落实主体责任机制，健全食品安全追溯体系。组织开展食品安全监督抽检、风险监测、核查处置和风险预警、风险交流工作。组织开展特殊食品监督管理。负责食盐专营管理和食盐安全监督管理。</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（十一）负责统一管理计量工作。推行国家法定计量单位，执行国家计量制度，依职权管理计量器具及量值传递和比对工作。规范、监督商品量和市场计量行为。</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十二）负责统一管理标准化工作。组织实施标准化法律、法规，推进本行政区域内标准化战略的实施；依法开展标准化试点示范工作；管理城陵矶新港区商品条码工作；依据法定职责，对标准的制定进行指导监督，对标准的实施进行监督检查。推行采用国际标准。</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（十三）负责检验检测工作。依权限配合上级机关开展检验检测工作。</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（十四）负责统一管理、监督和综合协调认证认可工作。依法监督管理城陵矶新港区认证认可和合格评定有关活动。</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（十五）负责市场监督管理、知识产权领域科技和信息化建设、新闻宣传、对外交流与合作。按规定承担技术性贸易措施有关工作。</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（十六）负责实施知识产权战略，推进知识产权强区建设。制定强化知识产权创造、保护、运用的管理措施并组织实施。建设知识产权公共服务体系，推动知识产权信息传播利用，建设知识产权人才队伍。</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（十七）负责保护知识产权。落实严格保护专利、商标、原产地地理标志等相关工作，建设知识产权保护体系、指导监督商标、专利及原产地地理标志执法。</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（十八）负责知识产权创造运用。开展知识产权运营体系建设，指导重大经济活动知识产权评议，规范知识产权交易和无形资产评估，促进知识产权转移转化，推动知识产权高质量发展。</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十九）负责组织开展有关商品和服务领域消费维权工作，查处假冒伪劣等违法行为，指导消费者咨询、投诉、举报受理、处理等工作，保护经营者、消费者合法权益。指导消费者权益保护组织开展消费维权工作。</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（二十）负责药品（含中药、民族药，下同）、医疗器械和化妆品安全监督管理。贯彻执行国家、省关于药品、医疗器械、化妆品安全监督管理的法律、法规和规章。</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（二十一）监督实施药品、医疗器械、化妆品标准和分类管理制度，配合有关部门实施国家基本药物制度。</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（二十二）负责权限范围内药品、医疗器械和化妆品质量管理。监督实施药品、医疗器械经营质量管理规范，监督实施化妆品经营、使用卫生标准和技术规范。</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二十三）负责权限范围内药品、医疗器械和化妆品上市后风险管理。依委托组织开展药品不良反应、医疗器械不良事件和化妆品不良反应的监测、评价和处置工作。依法承担药品、医疗器械和化妆品安全应急管理工作。</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二十四）负责组织实施药品、医疗器械和化妆品监督检查。制定检查制度，依法查处药品、医疗器械和化妆品经营、使用环节违法行为，监督实施问题产品召回和处置制度，依职责组织指导查处其他环节的违法行为。</w:t>
      </w:r>
    </w:p>
    <w:p>
      <w:pPr>
        <w:ind w:firstLine="560" w:firstLineChars="200"/>
        <w:jc w:val="left"/>
        <w:rPr>
          <w:rFonts w:ascii="仿宋_GB2312" w:eastAsia="仿宋_GB2312" w:cs="仿宋_GB2312"/>
          <w:color w:val="000000"/>
          <w:kern w:val="0"/>
          <w:sz w:val="28"/>
          <w:szCs w:val="28"/>
        </w:rPr>
      </w:pPr>
      <w:r>
        <w:rPr>
          <w:rFonts w:hint="eastAsia" w:ascii="仿宋_GB2312" w:hAnsi="仿宋_GB2312" w:cs="仿宋_GB2312"/>
          <w:color w:val="000000"/>
          <w:kern w:val="0"/>
          <w:sz w:val="28"/>
          <w:szCs w:val="28"/>
        </w:rPr>
        <w:t>（二十五）完成上级部门和区政府（管委会）交办的其他任务。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560" w:firstLineChars="200"/>
        <w:jc w:val="left"/>
        <w:rPr>
          <w:rFonts w:ascii="仿宋_GB2312" w:eastAsia="仿宋_GB2312" w:cs="仿宋_GB2312"/>
          <w:color w:val="000000"/>
          <w:kern w:val="0"/>
          <w:sz w:val="28"/>
          <w:szCs w:val="28"/>
          <w:lang w:val="zh-CN"/>
        </w:rPr>
      </w:pPr>
      <w:r>
        <w:rPr>
          <w:rFonts w:hint="eastAsia" w:ascii="仿宋_GB2312" w:hAnsi="仿宋_GB2312" w:cs="仿宋_GB2312"/>
          <w:color w:val="000000"/>
          <w:kern w:val="0"/>
          <w:sz w:val="28"/>
          <w:szCs w:val="28"/>
          <w:lang w:val="zh-CN"/>
        </w:rPr>
        <w:t>（一）内设机构设置。根据市委编办核定，我局设置内设</w:t>
      </w:r>
      <w:r>
        <w:rPr>
          <w:rFonts w:hint="eastAsia" w:ascii="仿宋_GB2312" w:hAnsi="仿宋_GB2312" w:cs="仿宋_GB2312"/>
          <w:color w:val="000000"/>
          <w:kern w:val="0"/>
          <w:sz w:val="28"/>
          <w:szCs w:val="28"/>
        </w:rPr>
        <w:t>科室</w:t>
      </w:r>
      <w:r>
        <w:rPr>
          <w:rFonts w:ascii="仿宋_GB2312" w:hAnsi="仿宋_GB2312" w:cs="仿宋_GB2312"/>
          <w:color w:val="000000"/>
          <w:kern w:val="0"/>
          <w:sz w:val="28"/>
          <w:szCs w:val="28"/>
          <w:lang w:val="zh-CN"/>
        </w:rPr>
        <w:t>3</w:t>
      </w:r>
      <w:r>
        <w:rPr>
          <w:rFonts w:hint="eastAsia" w:ascii="仿宋_GB2312" w:hAnsi="仿宋_GB2312" w:cs="仿宋_GB2312"/>
          <w:color w:val="000000"/>
          <w:kern w:val="0"/>
          <w:sz w:val="28"/>
          <w:szCs w:val="28"/>
          <w:lang w:val="zh-CN"/>
        </w:rPr>
        <w:t>个，副科级市场监管所</w:t>
      </w:r>
      <w:r>
        <w:rPr>
          <w:rFonts w:ascii="仿宋_GB2312" w:hAnsi="仿宋_GB2312" w:cs="仿宋_GB2312"/>
          <w:color w:val="000000"/>
          <w:kern w:val="0"/>
          <w:sz w:val="28"/>
          <w:szCs w:val="28"/>
          <w:lang w:val="zh-CN"/>
        </w:rPr>
        <w:t>1</w:t>
      </w:r>
      <w:r>
        <w:rPr>
          <w:rFonts w:hint="eastAsia" w:ascii="仿宋_GB2312" w:hAnsi="仿宋_GB2312" w:cs="仿宋_GB2312"/>
          <w:color w:val="000000"/>
          <w:kern w:val="0"/>
          <w:sz w:val="28"/>
          <w:szCs w:val="28"/>
          <w:lang w:val="zh-CN"/>
        </w:rPr>
        <w:t>个。内设科室分别是行政综合办公室、登记注册和信息化股（非公党建办公室）、综合业务股。</w:t>
      </w:r>
    </w:p>
    <w:p>
      <w:pPr>
        <w:ind w:firstLine="560" w:firstLineChars="200"/>
        <w:jc w:val="left"/>
        <w:rPr>
          <w:rFonts w:hint="eastAsia" w:ascii="仿宋_GB2312" w:hAnsi="仿宋_GB2312" w:cs="仿宋_GB2312"/>
          <w:color w:val="000000"/>
          <w:kern w:val="0"/>
          <w:sz w:val="28"/>
          <w:szCs w:val="28"/>
          <w:lang w:val="zh-CN" w:eastAsia="zh-CN"/>
        </w:rPr>
      </w:pPr>
      <w:r>
        <w:rPr>
          <w:rFonts w:hint="eastAsia" w:ascii="仿宋_GB2312" w:hAnsi="仿宋_GB2312" w:cs="仿宋_GB2312"/>
          <w:color w:val="000000"/>
          <w:kern w:val="0"/>
          <w:sz w:val="28"/>
          <w:szCs w:val="28"/>
          <w:lang w:val="zh-CN"/>
        </w:rPr>
        <w:t>副科级市场监管所是新港市场监管所。</w:t>
      </w:r>
    </w:p>
    <w:p>
      <w:pPr>
        <w:ind w:firstLine="560" w:firstLineChars="200"/>
        <w:jc w:val="left"/>
        <w:rPr>
          <w:rFonts w:hint="eastAsia" w:ascii="仿宋_GB2312" w:hAnsi="仿宋_GB2312" w:cs="仿宋_GB2312"/>
          <w:color w:val="000000"/>
          <w:kern w:val="0"/>
          <w:sz w:val="28"/>
          <w:szCs w:val="28"/>
          <w:lang w:val="zh-CN"/>
        </w:rPr>
      </w:pPr>
      <w:r>
        <w:rPr>
          <w:rFonts w:hint="eastAsia" w:ascii="仿宋_GB2312" w:hAnsi="仿宋_GB2312" w:cs="仿宋_GB2312"/>
          <w:color w:val="000000"/>
          <w:kern w:val="0"/>
          <w:sz w:val="28"/>
          <w:szCs w:val="28"/>
          <w:lang w:val="zh-CN"/>
        </w:rPr>
        <w:t>（</w:t>
      </w:r>
      <w:r>
        <w:rPr>
          <w:rFonts w:hint="eastAsia" w:ascii="仿宋_GB2312" w:hAnsi="仿宋_GB2312" w:cs="仿宋_GB2312"/>
          <w:color w:val="000000"/>
          <w:kern w:val="0"/>
          <w:sz w:val="28"/>
          <w:szCs w:val="28"/>
          <w:lang w:val="en-US" w:eastAsia="zh-CN"/>
        </w:rPr>
        <w:t>二</w:t>
      </w:r>
      <w:r>
        <w:rPr>
          <w:rFonts w:hint="eastAsia" w:ascii="仿宋_GB2312" w:hAnsi="仿宋_GB2312" w:cs="仿宋_GB2312"/>
          <w:color w:val="000000"/>
          <w:kern w:val="0"/>
          <w:sz w:val="28"/>
          <w:szCs w:val="28"/>
          <w:lang w:val="zh-CN"/>
        </w:rPr>
        <w:t>）决算单位构成。202</w:t>
      </w:r>
      <w:r>
        <w:rPr>
          <w:rFonts w:hint="eastAsia" w:ascii="仿宋_GB2312" w:hAnsi="仿宋_GB2312" w:cs="仿宋_GB2312"/>
          <w:color w:val="000000"/>
          <w:kern w:val="0"/>
          <w:sz w:val="28"/>
          <w:szCs w:val="28"/>
          <w:lang w:val="en-US" w:eastAsia="zh-CN"/>
        </w:rPr>
        <w:t>1</w:t>
      </w:r>
      <w:r>
        <w:rPr>
          <w:rFonts w:hint="eastAsia" w:ascii="仿宋_GB2312" w:hAnsi="仿宋_GB2312" w:cs="仿宋_GB2312"/>
          <w:color w:val="000000"/>
          <w:kern w:val="0"/>
          <w:sz w:val="28"/>
          <w:szCs w:val="28"/>
          <w:lang w:val="zh-CN"/>
        </w:rPr>
        <w:t>年部门决算汇总公开单位构成为岳阳市市场监督管理局城陵矶新港区分局本级，无单独核算下属单位或机构。</w:t>
      </w:r>
    </w:p>
    <w:p>
      <w:pPr>
        <w:ind w:firstLine="560" w:firstLineChars="200"/>
        <w:jc w:val="left"/>
        <w:rPr>
          <w:rFonts w:hint="eastAsia" w:ascii="仿宋_GB2312" w:hAnsi="仿宋_GB2312" w:cs="仿宋_GB2312"/>
          <w:color w:val="000000"/>
          <w:kern w:val="0"/>
          <w:sz w:val="28"/>
          <w:szCs w:val="28"/>
          <w:lang w:val="zh-CN"/>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r>
        <w:rPr>
          <w:rFonts w:hint="eastAsia" w:ascii="黑体" w:hAnsi="黑体" w:eastAsia="黑体" w:cs="黑体"/>
          <w:sz w:val="44"/>
          <w:szCs w:val="44"/>
        </w:rPr>
        <w:t>第二部分</w:t>
      </w: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r>
        <w:rPr>
          <w:rFonts w:hint="eastAsia" w:ascii="黑体" w:hAnsi="黑体" w:eastAsia="黑体" w:cs="黑体"/>
          <w:sz w:val="44"/>
          <w:szCs w:val="44"/>
        </w:rPr>
        <w:t>部门决算表</w:t>
      </w:r>
    </w:p>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1440" w:right="1800" w:bottom="1440" w:left="1800" w:header="851" w:footer="992" w:gutter="0"/>
          <w:cols w:space="425" w:num="1"/>
          <w:docGrid w:type="lines" w:linePitch="312" w:charSpace="0"/>
        </w:sect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center"/>
        <w:rPr>
          <w:rFonts w:hint="eastAsia"/>
          <w:sz w:val="44"/>
          <w:szCs w:val="44"/>
        </w:rPr>
      </w:pPr>
    </w:p>
    <w:p>
      <w:pPr>
        <w:pStyle w:val="13"/>
        <w:jc w:val="both"/>
        <w:rPr>
          <w:rFonts w:hint="eastAsia"/>
          <w:sz w:val="44"/>
          <w:szCs w:val="44"/>
        </w:rPr>
      </w:pPr>
    </w:p>
    <w:p>
      <w:pPr>
        <w:pStyle w:val="13"/>
        <w:jc w:val="center"/>
        <w:rPr>
          <w:sz w:val="44"/>
          <w:szCs w:val="44"/>
        </w:rPr>
      </w:pPr>
      <w:r>
        <w:rPr>
          <w:rFonts w:hint="eastAsia"/>
          <w:sz w:val="44"/>
          <w:szCs w:val="44"/>
        </w:rPr>
        <w:t>第三部分</w:t>
      </w:r>
    </w:p>
    <w:p>
      <w:pPr>
        <w:pStyle w:val="13"/>
        <w:jc w:val="center"/>
        <w:rPr>
          <w:sz w:val="44"/>
          <w:szCs w:val="44"/>
        </w:rPr>
      </w:pPr>
    </w:p>
    <w:p>
      <w:pPr>
        <w:pStyle w:val="13"/>
        <w:jc w:val="center"/>
        <w:rPr>
          <w:sz w:val="44"/>
          <w:szCs w:val="44"/>
        </w:rPr>
      </w:pPr>
      <w:r>
        <w:rPr>
          <w:sz w:val="44"/>
          <w:szCs w:val="44"/>
        </w:rPr>
        <w:t>20</w:t>
      </w:r>
      <w:r>
        <w:rPr>
          <w:rFonts w:hint="eastAsia"/>
          <w:sz w:val="44"/>
          <w:szCs w:val="44"/>
        </w:rPr>
        <w:t>21年度部门决算情况说明</w:t>
      </w:r>
    </w:p>
    <w:p>
      <w:pPr>
        <w:widowControl/>
        <w:jc w:val="left"/>
        <w:rPr>
          <w:sz w:val="70"/>
          <w:szCs w:val="70"/>
        </w:rPr>
        <w:sectPr>
          <w:pgSz w:w="11906" w:h="16838"/>
          <w:pgMar w:top="720" w:right="720" w:bottom="720" w:left="720" w:header="851" w:footer="992" w:gutter="0"/>
          <w:cols w:space="425" w:num="1"/>
          <w:docGrid w:type="linesAndChars" w:linePitch="312" w:charSpace="0"/>
        </w:sectPr>
      </w:pPr>
      <w:r>
        <w:rPr>
          <w:sz w:val="70"/>
          <w:szCs w:val="70"/>
        </w:rPr>
        <w:br w:type="page"/>
      </w:r>
    </w:p>
    <w:p>
      <w:pPr>
        <w:pStyle w:val="13"/>
        <w:ind w:firstLine="640" w:firstLineChars="200"/>
        <w:rPr>
          <w:rFonts w:hAnsi="黑体"/>
          <w:b/>
          <w:sz w:val="32"/>
          <w:szCs w:val="32"/>
        </w:rPr>
      </w:pPr>
      <w:r>
        <w:rPr>
          <w:rFonts w:hint="eastAsia" w:hAnsi="黑体"/>
          <w:b/>
          <w:sz w:val="32"/>
          <w:szCs w:val="32"/>
        </w:rPr>
        <w:t>一、收入支出决算总体情况说明</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2021年度收、支总计</w:t>
      </w:r>
      <w:r>
        <w:rPr>
          <w:rFonts w:hint="eastAsia" w:asciiTheme="minorEastAsia" w:hAnsiTheme="minorEastAsia" w:eastAsiaTheme="minorEastAsia"/>
          <w:sz w:val="32"/>
          <w:szCs w:val="32"/>
          <w:lang w:val="en-US" w:eastAsia="zh-CN"/>
        </w:rPr>
        <w:t>355.95</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83.05</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30.43</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2020年中途新进4人,2021年新增1人，工资福利支出较上年增加了77.5万元。</w:t>
      </w:r>
    </w:p>
    <w:p>
      <w:pPr>
        <w:pStyle w:val="13"/>
        <w:ind w:firstLine="640" w:firstLineChars="200"/>
        <w:rPr>
          <w:rFonts w:hAnsi="黑体"/>
          <w:b/>
          <w:sz w:val="32"/>
          <w:szCs w:val="32"/>
        </w:rPr>
      </w:pPr>
      <w:r>
        <w:rPr>
          <w:rFonts w:hint="eastAsia" w:hAnsi="黑体"/>
          <w:b/>
          <w:sz w:val="32"/>
          <w:szCs w:val="32"/>
        </w:rPr>
        <w:t>二、收入决算情况说明</w:t>
      </w:r>
    </w:p>
    <w:p>
      <w:pPr>
        <w:pStyle w:val="13"/>
        <w:ind w:firstLine="640" w:firstLineChars="200"/>
        <w:rPr>
          <w:rFonts w:hint="eastAsia" w:asciiTheme="minorEastAsia" w:hAnsiTheme="minorEastAsia" w:eastAsiaTheme="minorEastAsia"/>
          <w:b w:val="0"/>
          <w:bCs w:val="0"/>
          <w:i/>
          <w:iCs/>
          <w:sz w:val="36"/>
          <w:szCs w:val="36"/>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299.63</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288.2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96.19</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万元；其他收入</w:t>
      </w:r>
      <w:r>
        <w:rPr>
          <w:rFonts w:hint="eastAsia" w:asciiTheme="minorEastAsia" w:hAnsiTheme="minorEastAsia" w:eastAsiaTheme="minorEastAsia"/>
          <w:sz w:val="32"/>
          <w:szCs w:val="32"/>
          <w:lang w:val="en-US" w:eastAsia="zh-CN"/>
        </w:rPr>
        <w:t>11.43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3.81</w:t>
      </w:r>
      <w:r>
        <w:rPr>
          <w:rFonts w:hint="eastAsia" w:asciiTheme="minorEastAsia" w:hAnsiTheme="minorEastAsia" w:eastAsiaTheme="minorEastAsia"/>
          <w:sz w:val="32"/>
          <w:szCs w:val="32"/>
        </w:rPr>
        <w:t>%。</w:t>
      </w:r>
    </w:p>
    <w:p>
      <w:pPr>
        <w:pStyle w:val="13"/>
        <w:ind w:firstLine="640" w:firstLineChars="200"/>
        <w:rPr>
          <w:rFonts w:hAnsi="黑体"/>
          <w:b/>
          <w:sz w:val="32"/>
          <w:szCs w:val="32"/>
        </w:rPr>
      </w:pPr>
      <w:r>
        <w:rPr>
          <w:rFonts w:hint="eastAsia" w:hAnsi="黑体"/>
          <w:b/>
          <w:sz w:val="32"/>
          <w:szCs w:val="32"/>
        </w:rPr>
        <w:t>三、支出决算情况说明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344.62</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242.5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70.37</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102.12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29.63</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13"/>
        <w:ind w:firstLine="640" w:firstLineChars="200"/>
        <w:rPr>
          <w:rFonts w:hAnsi="黑体"/>
          <w:b/>
          <w:sz w:val="32"/>
          <w:szCs w:val="32"/>
        </w:rPr>
      </w:pPr>
      <w:r>
        <w:rPr>
          <w:rFonts w:hint="eastAsia" w:hAnsi="黑体"/>
          <w:b/>
          <w:sz w:val="32"/>
          <w:szCs w:val="32"/>
        </w:rPr>
        <w:t>四、财政拨款收入支出决算总体情况说明</w:t>
      </w:r>
    </w:p>
    <w:p>
      <w:pPr>
        <w:pStyle w:val="13"/>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2021年度财政拨款收、支总计</w:t>
      </w:r>
      <w:r>
        <w:rPr>
          <w:rFonts w:hint="eastAsia" w:asciiTheme="minorEastAsia" w:hAnsiTheme="minorEastAsia" w:eastAsiaTheme="minorEastAsia"/>
          <w:sz w:val="32"/>
          <w:szCs w:val="32"/>
          <w:lang w:val="en-US" w:eastAsia="zh-CN"/>
        </w:rPr>
        <w:t>344.09</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78.39</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29.5</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2020年中途新进4人,2021年新增1人，工资福利支出较上年增加了77.5万元。</w:t>
      </w:r>
    </w:p>
    <w:p>
      <w:pPr>
        <w:pStyle w:val="13"/>
        <w:ind w:firstLine="320" w:firstLineChars="100"/>
        <w:rPr>
          <w:rFonts w:hAnsi="黑体"/>
          <w:b/>
          <w:sz w:val="32"/>
          <w:szCs w:val="32"/>
        </w:rPr>
      </w:pPr>
      <w:r>
        <w:rPr>
          <w:rFonts w:hint="eastAsia" w:hAnsi="黑体"/>
          <w:b/>
          <w:sz w:val="32"/>
          <w:szCs w:val="32"/>
        </w:rPr>
        <w:t>五、一般公共预算财政拨款支出决算情况说明</w:t>
      </w:r>
    </w:p>
    <w:p>
      <w:pPr>
        <w:pStyle w:val="13"/>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333.19</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96.68</w:t>
      </w:r>
      <w:r>
        <w:rPr>
          <w:rFonts w:hint="eastAsia" w:asciiTheme="minorEastAsia" w:hAnsiTheme="minorEastAsia" w:eastAsiaTheme="minorEastAsia"/>
          <w:sz w:val="32"/>
          <w:szCs w:val="32"/>
        </w:rPr>
        <w:t>%，与上年相比，财政拨款支出增加</w:t>
      </w:r>
      <w:r>
        <w:rPr>
          <w:rFonts w:hint="eastAsia" w:asciiTheme="minorEastAsia" w:hAnsiTheme="minorEastAsia" w:eastAsiaTheme="minorEastAsia"/>
          <w:sz w:val="32"/>
          <w:szCs w:val="32"/>
          <w:lang w:val="en-US" w:eastAsia="zh-CN"/>
        </w:rPr>
        <w:t>123.39</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58.81</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2020年中途新进4人,2021年新增1人，工资福利支出较上年增加了77.5万元，商品和服务支出增加33.32万元，项目支出增加12.57万元。</w:t>
      </w:r>
    </w:p>
    <w:p>
      <w:pPr>
        <w:pStyle w:val="13"/>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333.19</w:t>
      </w:r>
      <w:r>
        <w:rPr>
          <w:rFonts w:hint="eastAsia" w:asciiTheme="minorEastAsia" w:hAnsiTheme="minorEastAsia" w:eastAsiaTheme="minorEastAsia"/>
          <w:sz w:val="32"/>
          <w:szCs w:val="32"/>
        </w:rPr>
        <w:t>万元，主要用于以下方面：一般公共服务（类）支出</w:t>
      </w:r>
      <w:r>
        <w:rPr>
          <w:rFonts w:hint="eastAsia" w:asciiTheme="minorEastAsia" w:hAnsiTheme="minorEastAsia" w:eastAsiaTheme="minorEastAsia"/>
          <w:sz w:val="32"/>
          <w:szCs w:val="32"/>
          <w:lang w:val="en-US" w:eastAsia="zh-CN"/>
        </w:rPr>
        <w:t>307.75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92.37</w:t>
      </w:r>
      <w:r>
        <w:rPr>
          <w:rFonts w:hint="eastAsia" w:asciiTheme="minorEastAsia" w:hAnsiTheme="minorEastAsia" w:eastAsiaTheme="minorEastAsia"/>
          <w:sz w:val="32"/>
          <w:szCs w:val="32"/>
        </w:rPr>
        <w:t>%；社会保障和就业（类）支出</w:t>
      </w:r>
      <w:r>
        <w:rPr>
          <w:rFonts w:hint="eastAsia" w:asciiTheme="minorEastAsia" w:hAnsiTheme="minorEastAsia" w:eastAsiaTheme="minorEastAsia"/>
          <w:sz w:val="32"/>
          <w:szCs w:val="32"/>
          <w:lang w:val="en-US" w:eastAsia="zh-CN"/>
        </w:rPr>
        <w:t>17.89</w:t>
      </w:r>
      <w:r>
        <w:rPr>
          <w:rFonts w:hint="eastAsia" w:asciiTheme="minorEastAsia" w:hAnsiTheme="minorEastAsia" w:eastAsiaTheme="minorEastAsia"/>
          <w:sz w:val="32"/>
          <w:szCs w:val="32"/>
        </w:rPr>
        <w:t>万元，占5</w:t>
      </w:r>
      <w:r>
        <w:rPr>
          <w:rFonts w:hint="eastAsia" w:asciiTheme="minorEastAsia" w:hAnsiTheme="minorEastAsia" w:eastAsiaTheme="minorEastAsia"/>
          <w:sz w:val="32"/>
          <w:szCs w:val="32"/>
          <w:lang w:val="en-US" w:eastAsia="zh-CN"/>
        </w:rPr>
        <w:t>.36</w:t>
      </w:r>
      <w:r>
        <w:rPr>
          <w:rFonts w:hint="eastAsia" w:asciiTheme="minorEastAsia" w:hAnsiTheme="minorEastAsia" w:eastAsiaTheme="minorEastAsia"/>
          <w:sz w:val="32"/>
          <w:szCs w:val="32"/>
        </w:rPr>
        <w:t>%;卫生健康（类）支出</w:t>
      </w:r>
      <w:r>
        <w:rPr>
          <w:rFonts w:hint="eastAsia" w:asciiTheme="minorEastAsia" w:hAnsiTheme="minorEastAsia" w:eastAsiaTheme="minorEastAsia"/>
          <w:sz w:val="32"/>
          <w:szCs w:val="32"/>
          <w:lang w:val="en-US" w:eastAsia="zh-CN"/>
        </w:rPr>
        <w:t>7.55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2.27</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3"/>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3"/>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Theme="minorEastAsia" w:hAnsiTheme="minorEastAsia" w:eastAsiaTheme="minorEastAsia"/>
          <w:sz w:val="32"/>
          <w:szCs w:val="32"/>
          <w:lang w:val="en-US" w:eastAsia="zh-CN"/>
        </w:rPr>
        <w:t>177.81</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333.19</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187.39</w:t>
      </w:r>
      <w:r>
        <w:rPr>
          <w:rFonts w:hint="eastAsia" w:asciiTheme="minorEastAsia" w:hAnsiTheme="minorEastAsia" w:eastAsiaTheme="minorEastAsia"/>
          <w:sz w:val="32"/>
          <w:szCs w:val="32"/>
        </w:rPr>
        <w:t>%，其中：</w:t>
      </w:r>
    </w:p>
    <w:p>
      <w:pPr>
        <w:pStyle w:val="13"/>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1、一般公共服务（类）知识产权事务（款）国家知识产权战略</w:t>
      </w:r>
      <w:r>
        <w:rPr>
          <w:rFonts w:hint="eastAsia" w:asciiTheme="minorEastAsia" w:hAnsiTheme="minorEastAsia" w:eastAsiaTheme="minorEastAsia"/>
          <w:sz w:val="32"/>
          <w:szCs w:val="32"/>
          <w:lang w:val="en-US" w:eastAsia="zh-CN"/>
        </w:rPr>
        <w:t>和规划</w:t>
      </w:r>
      <w:r>
        <w:rPr>
          <w:rFonts w:hint="eastAsia" w:asciiTheme="minorEastAsia" w:hAnsiTheme="minorEastAsia" w:eastAsiaTheme="minorEastAsia"/>
          <w:sz w:val="32"/>
          <w:szCs w:val="32"/>
        </w:rPr>
        <w:t>（项）</w:t>
      </w:r>
      <w:r>
        <w:rPr>
          <w:rFonts w:hint="eastAsia" w:asciiTheme="minorEastAsia" w:hAnsiTheme="minorEastAsia" w:eastAsiaTheme="minorEastAsia"/>
          <w:sz w:val="32"/>
          <w:szCs w:val="32"/>
          <w:lang w:eastAsia="zh-CN"/>
        </w:rPr>
        <w:t>。</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8.37</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由于预算数为0，无法计算百分比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val="en-US" w:eastAsia="zh-CN"/>
        </w:rPr>
        <w:t>因开展知识产权工作需要，省市场监督管理局</w:t>
      </w:r>
      <w:r>
        <w:rPr>
          <w:rFonts w:hint="eastAsia" w:asciiTheme="minorEastAsia" w:hAnsiTheme="minorEastAsia" w:eastAsiaTheme="minorEastAsia"/>
          <w:sz w:val="32"/>
          <w:szCs w:val="32"/>
        </w:rPr>
        <w:t>追加国家知识产权战略</w:t>
      </w:r>
      <w:r>
        <w:rPr>
          <w:rFonts w:hint="eastAsia" w:asciiTheme="minorEastAsia" w:hAnsiTheme="minorEastAsia" w:eastAsiaTheme="minorEastAsia"/>
          <w:sz w:val="32"/>
          <w:szCs w:val="32"/>
          <w:lang w:val="en-US" w:eastAsia="zh-CN"/>
        </w:rPr>
        <w:t>和规划</w:t>
      </w:r>
      <w:r>
        <w:rPr>
          <w:rFonts w:hint="eastAsia" w:asciiTheme="minorEastAsia" w:hAnsiTheme="minorEastAsia" w:eastAsiaTheme="minorEastAsia"/>
          <w:sz w:val="32"/>
          <w:szCs w:val="32"/>
        </w:rPr>
        <w:t>专项经费。</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一般公共服务（类）知识产权事务（款）知识产权宏观管理（项）</w:t>
      </w:r>
      <w:r>
        <w:rPr>
          <w:rFonts w:hint="eastAsia" w:asciiTheme="minorEastAsia" w:hAnsiTheme="minorEastAsia" w:eastAsiaTheme="minorEastAsia"/>
          <w:sz w:val="32"/>
          <w:szCs w:val="32"/>
          <w:lang w:eastAsia="zh-CN"/>
        </w:rPr>
        <w:t>。</w:t>
      </w:r>
    </w:p>
    <w:p>
      <w:pPr>
        <w:pStyle w:val="13"/>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15.49</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由于预算数为0，无法计算百分比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val="en-US" w:eastAsia="zh-CN"/>
        </w:rPr>
        <w:t>因开展知识产权工作需要，省市场监督管理局</w:t>
      </w:r>
      <w:r>
        <w:rPr>
          <w:rFonts w:hint="eastAsia" w:asciiTheme="minorEastAsia" w:hAnsiTheme="minorEastAsia" w:eastAsiaTheme="minorEastAsia"/>
          <w:sz w:val="32"/>
          <w:szCs w:val="32"/>
        </w:rPr>
        <w:t>追加国家知识产权宏观管理专项经费。</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、一般公共服务（类）市场监督管理事务（款） 行政运行（项）</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152.37</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283.89</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186.32</w:t>
      </w:r>
      <w:r>
        <w:rPr>
          <w:rFonts w:hint="eastAsia" w:asciiTheme="minorEastAsia" w:hAnsiTheme="minorEastAsia" w:eastAsiaTheme="minorEastAsia"/>
          <w:sz w:val="32"/>
          <w:szCs w:val="32"/>
        </w:rPr>
        <w:t>%，决算数大于年初预算数的主要原因是：追加了</w:t>
      </w:r>
      <w:r>
        <w:rPr>
          <w:rFonts w:hint="eastAsia" w:asciiTheme="minorEastAsia" w:hAnsiTheme="minorEastAsia" w:eastAsiaTheme="minorEastAsia"/>
          <w:sz w:val="32"/>
          <w:szCs w:val="32"/>
          <w:lang w:val="en-US" w:eastAsia="zh-CN"/>
        </w:rPr>
        <w:t>单位</w:t>
      </w:r>
      <w:r>
        <w:rPr>
          <w:rFonts w:hint="eastAsia" w:asciiTheme="minorEastAsia" w:hAnsiTheme="minorEastAsia" w:eastAsiaTheme="minorEastAsia"/>
          <w:sz w:val="32"/>
          <w:szCs w:val="32"/>
        </w:rPr>
        <w:t>人员的</w:t>
      </w:r>
      <w:r>
        <w:rPr>
          <w:rFonts w:hint="eastAsia" w:asciiTheme="minorEastAsia" w:hAnsiTheme="minorEastAsia" w:eastAsiaTheme="minorEastAsia"/>
          <w:sz w:val="32"/>
          <w:szCs w:val="32"/>
          <w:lang w:val="en-US" w:eastAsia="zh-CN"/>
        </w:rPr>
        <w:t>综合绩效奖</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平安建设奖</w:t>
      </w:r>
      <w:r>
        <w:rPr>
          <w:rFonts w:hint="eastAsia" w:asciiTheme="minorEastAsia" w:hAnsiTheme="minorEastAsia" w:eastAsiaTheme="minorEastAsia"/>
          <w:sz w:val="32"/>
          <w:szCs w:val="32"/>
        </w:rPr>
        <w:t>、第13月工资</w:t>
      </w:r>
      <w:r>
        <w:rPr>
          <w:rFonts w:hint="eastAsia" w:asciiTheme="minorEastAsia" w:hAnsiTheme="minorEastAsia" w:eastAsiaTheme="minorEastAsia"/>
          <w:sz w:val="32"/>
          <w:szCs w:val="32"/>
          <w:lang w:val="en-US" w:eastAsia="zh-CN"/>
        </w:rPr>
        <w:t>和新进人员的工资福利支出</w:t>
      </w:r>
      <w:r>
        <w:rPr>
          <w:rFonts w:hint="eastAsia" w:asciiTheme="minorEastAsia" w:hAnsiTheme="minorEastAsia" w:eastAsiaTheme="minorEastAsia"/>
          <w:sz w:val="32"/>
          <w:szCs w:val="32"/>
        </w:rPr>
        <w:t>。</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、社会保障和就业（类）行政事业单位养老支出（款）机关事业单位基本养老保险缴费支出（项）</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17.89</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17.89</w:t>
      </w:r>
      <w:r>
        <w:rPr>
          <w:rFonts w:hint="eastAsia" w:asciiTheme="minorEastAsia" w:hAnsiTheme="minorEastAsia" w:eastAsiaTheme="minorEastAsia"/>
          <w:sz w:val="32"/>
          <w:szCs w:val="32"/>
        </w:rPr>
        <w:t>万元，完成年初预算的100%</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与年初预算一致</w:t>
      </w:r>
      <w:r>
        <w:rPr>
          <w:rFonts w:hint="eastAsia" w:asciiTheme="minorEastAsia" w:hAnsiTheme="minorEastAsia" w:eastAsiaTheme="minorEastAsia"/>
          <w:sz w:val="32"/>
          <w:szCs w:val="32"/>
        </w:rPr>
        <w:t>。</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、卫生健康（类）行政事业单位医疗（款）行政单位医疗（项）</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7.55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7.55</w:t>
      </w:r>
      <w:r>
        <w:rPr>
          <w:rFonts w:hint="eastAsia" w:asciiTheme="minorEastAsia" w:hAnsiTheme="minorEastAsia" w:eastAsiaTheme="minorEastAsia"/>
          <w:sz w:val="32"/>
          <w:szCs w:val="32"/>
        </w:rPr>
        <w:t>万元，完成年初预算的100%</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与年初预算一致</w:t>
      </w:r>
      <w:r>
        <w:rPr>
          <w:rFonts w:hint="eastAsia" w:asciiTheme="minorEastAsia" w:hAnsiTheme="minorEastAsia" w:eastAsiaTheme="minorEastAsia"/>
          <w:sz w:val="32"/>
          <w:szCs w:val="32"/>
        </w:rPr>
        <w:t>。</w:t>
      </w:r>
    </w:p>
    <w:p>
      <w:pPr>
        <w:pStyle w:val="13"/>
        <w:ind w:firstLine="640" w:firstLineChars="200"/>
        <w:rPr>
          <w:rFonts w:hAnsi="黑体"/>
          <w:b/>
          <w:sz w:val="32"/>
          <w:szCs w:val="32"/>
        </w:rPr>
      </w:pPr>
      <w:r>
        <w:rPr>
          <w:rFonts w:hint="eastAsia" w:hAnsi="黑体"/>
          <w:b/>
          <w:sz w:val="32"/>
          <w:szCs w:val="32"/>
        </w:rPr>
        <w:t>六、一般公共预算财政拨款基本支出决算情况说明</w:t>
      </w:r>
    </w:p>
    <w:p>
      <w:pPr>
        <w:pStyle w:val="13"/>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231.07</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188.94</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81.77</w:t>
      </w:r>
      <w:r>
        <w:rPr>
          <w:rFonts w:hint="eastAsia" w:asciiTheme="minorEastAsia" w:hAnsiTheme="minorEastAsia" w:eastAsiaTheme="minorEastAsia"/>
          <w:sz w:val="32"/>
          <w:szCs w:val="32"/>
        </w:rPr>
        <w:t>%,主要包括主要包括基本工资、津贴补贴、</w:t>
      </w:r>
      <w:r>
        <w:rPr>
          <w:rFonts w:hint="eastAsia" w:asciiTheme="minorEastAsia" w:hAnsiTheme="minorEastAsia" w:eastAsiaTheme="minorEastAsia"/>
          <w:sz w:val="32"/>
          <w:szCs w:val="32"/>
          <w:lang w:val="zh-CN"/>
        </w:rPr>
        <w:t>奖金、伙食补助费、机关事业单位基本养老保险缴费、职工基本医疗保险缴费、其他社会保障缴费、住房公积金、医疗费</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42.13</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18.23</w:t>
      </w:r>
      <w:r>
        <w:rPr>
          <w:rFonts w:hint="eastAsia" w:asciiTheme="minorEastAsia" w:hAnsiTheme="minorEastAsia" w:eastAsiaTheme="minorEastAsia"/>
          <w:sz w:val="32"/>
          <w:szCs w:val="32"/>
        </w:rPr>
        <w:t>%，主要包括办公费、咨询费、邮电费、物业管理费、差旅费、维修（护）费、租赁费、公务接待费、委托业务费、工会经费、公务用车运行维护费、其他交通费用、其他商品和服务支出。</w:t>
      </w:r>
    </w:p>
    <w:p>
      <w:pPr>
        <w:pStyle w:val="13"/>
        <w:ind w:firstLine="640" w:firstLineChars="200"/>
        <w:rPr>
          <w:rFonts w:hAnsi="黑体"/>
          <w:b/>
          <w:sz w:val="32"/>
          <w:szCs w:val="32"/>
        </w:rPr>
      </w:pPr>
      <w:r>
        <w:rPr>
          <w:rFonts w:hint="eastAsia" w:hAnsi="黑体"/>
          <w:b/>
          <w:sz w:val="32"/>
          <w:szCs w:val="32"/>
        </w:rPr>
        <w:t>七、一般公共预算财政拨款“三公”经费支出决算情况说明</w:t>
      </w:r>
    </w:p>
    <w:p>
      <w:pPr>
        <w:pStyle w:val="13"/>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4.31</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71.83</w:t>
      </w:r>
      <w:r>
        <w:rPr>
          <w:rFonts w:hint="eastAsia" w:asciiTheme="minorEastAsia" w:hAnsiTheme="minorEastAsia" w:eastAsiaTheme="minorEastAsia"/>
          <w:sz w:val="32"/>
          <w:szCs w:val="32"/>
        </w:rPr>
        <w:t>%，其中：</w:t>
      </w:r>
    </w:p>
    <w:p>
      <w:pPr>
        <w:pStyle w:val="13"/>
        <w:ind w:firstLine="800" w:firstLineChars="25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0，无法计算百分比，与上年比持平，原因是上年、本年都没有此项费用。</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0.51</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17</w:t>
      </w:r>
      <w:r>
        <w:rPr>
          <w:rFonts w:hint="eastAsia" w:asciiTheme="minorEastAsia" w:hAnsiTheme="minorEastAsia" w:eastAsiaTheme="minorEastAsia"/>
          <w:sz w:val="32"/>
          <w:szCs w:val="32"/>
        </w:rPr>
        <w:t>%，决算数小于预算数的主要原因是厉行节约，严把接待关。与上年相比减少</w:t>
      </w:r>
      <w:r>
        <w:rPr>
          <w:rFonts w:hint="eastAsia" w:asciiTheme="minorEastAsia" w:hAnsiTheme="minorEastAsia" w:eastAsiaTheme="minorEastAsia"/>
          <w:sz w:val="32"/>
          <w:szCs w:val="32"/>
          <w:lang w:val="en-US" w:eastAsia="zh-CN"/>
        </w:rPr>
        <w:t>0.04</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6.18</w:t>
      </w:r>
      <w:r>
        <w:rPr>
          <w:rFonts w:hint="eastAsia" w:asciiTheme="minorEastAsia" w:hAnsiTheme="minorEastAsia" w:eastAsiaTheme="minorEastAsia"/>
          <w:sz w:val="32"/>
          <w:szCs w:val="32"/>
        </w:rPr>
        <w:t>%,减少的主要原因是</w:t>
      </w:r>
      <w:r>
        <w:rPr>
          <w:rFonts w:hint="eastAsia" w:asciiTheme="minorEastAsia" w:hAnsiTheme="minorEastAsia" w:eastAsiaTheme="minorEastAsia"/>
          <w:sz w:val="32"/>
          <w:szCs w:val="32"/>
          <w:lang w:val="en-US" w:eastAsia="zh-CN"/>
        </w:rPr>
        <w:t>压缩接待人次</w:t>
      </w:r>
      <w:r>
        <w:rPr>
          <w:rFonts w:hint="eastAsia" w:asciiTheme="minorEastAsia" w:hAnsiTheme="minorEastAsia" w:eastAsiaTheme="minorEastAsia"/>
          <w:sz w:val="32"/>
          <w:szCs w:val="32"/>
        </w:rPr>
        <w:t>。</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由于预算数为0，无法计算百分比。与上年比持平，原因是上年、本年都没有此项费用。</w:t>
      </w:r>
      <w:bookmarkStart w:id="0" w:name="_GoBack"/>
      <w:bookmarkEnd w:id="0"/>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3.8万元，完成预算的95%，决算数小于预算数的主要原因</w:t>
      </w:r>
      <w:r>
        <w:rPr>
          <w:rFonts w:hint="eastAsia" w:asciiTheme="minorEastAsia" w:hAnsiTheme="minorEastAsia" w:eastAsiaTheme="minorEastAsia"/>
          <w:sz w:val="32"/>
          <w:szCs w:val="32"/>
        </w:rPr>
        <w:t>厉行节约</w:t>
      </w:r>
      <w:r>
        <w:rPr>
          <w:rFonts w:hint="eastAsia" w:asciiTheme="minorEastAsia" w:hAnsiTheme="minorEastAsia" w:eastAsiaTheme="minorEastAsia"/>
          <w:sz w:val="32"/>
          <w:szCs w:val="32"/>
          <w:lang w:val="en-US" w:eastAsia="zh-CN"/>
        </w:rPr>
        <w:t>严格控制</w:t>
      </w:r>
      <w:r>
        <w:rPr>
          <w:rFonts w:hint="eastAsia" w:asciiTheme="minorEastAsia" w:hAnsiTheme="minorEastAsia" w:eastAsiaTheme="minorEastAsia"/>
          <w:sz w:val="32"/>
          <w:szCs w:val="32"/>
        </w:rPr>
        <w:t>公务用车运行维护费支出。</w:t>
      </w:r>
      <w:r>
        <w:rPr>
          <w:rFonts w:hint="eastAsia" w:asciiTheme="minorEastAsia" w:hAnsiTheme="minorEastAsia" w:eastAsiaTheme="minorEastAsia"/>
          <w:sz w:val="32"/>
          <w:szCs w:val="32"/>
          <w:lang w:val="en-US" w:eastAsia="zh-CN"/>
        </w:rPr>
        <w:t>与上</w:t>
      </w:r>
      <w:r>
        <w:rPr>
          <w:rFonts w:hint="eastAsia" w:asciiTheme="minorEastAsia" w:hAnsiTheme="minorEastAsia" w:eastAsiaTheme="minorEastAsia"/>
          <w:sz w:val="32"/>
          <w:szCs w:val="32"/>
        </w:rPr>
        <w:t>年相比减少</w:t>
      </w:r>
      <w:r>
        <w:rPr>
          <w:rFonts w:hint="eastAsia" w:asciiTheme="minorEastAsia" w:hAnsiTheme="minorEastAsia" w:eastAsiaTheme="minorEastAsia"/>
          <w:sz w:val="32"/>
          <w:szCs w:val="32"/>
          <w:lang w:val="en-US" w:eastAsia="zh-CN"/>
        </w:rPr>
        <w:t>1.01</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21</w:t>
      </w:r>
      <w:r>
        <w:rPr>
          <w:rFonts w:hint="eastAsia" w:asciiTheme="minorEastAsia" w:hAnsiTheme="minorEastAsia" w:eastAsiaTheme="minorEastAsia"/>
          <w:sz w:val="32"/>
          <w:szCs w:val="32"/>
        </w:rPr>
        <w:t>%,减少的主要原因是厉行节约</w:t>
      </w:r>
      <w:r>
        <w:rPr>
          <w:rFonts w:hint="eastAsia" w:asciiTheme="minorEastAsia" w:hAnsiTheme="minorEastAsia" w:eastAsiaTheme="minorEastAsia"/>
          <w:sz w:val="32"/>
          <w:szCs w:val="32"/>
          <w:lang w:val="en-US" w:eastAsia="zh-CN"/>
        </w:rPr>
        <w:t>严格控制</w:t>
      </w:r>
      <w:r>
        <w:rPr>
          <w:rFonts w:hint="eastAsia" w:asciiTheme="minorEastAsia" w:hAnsiTheme="minorEastAsia" w:eastAsiaTheme="minorEastAsia"/>
          <w:sz w:val="32"/>
          <w:szCs w:val="32"/>
        </w:rPr>
        <w:t>公务用车运行维护费支出。</w:t>
      </w:r>
    </w:p>
    <w:p>
      <w:pPr>
        <w:pStyle w:val="13"/>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0.51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11.83</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3.8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88.17</w:t>
      </w:r>
      <w:r>
        <w:rPr>
          <w:rFonts w:hint="eastAsia" w:asciiTheme="minorEastAsia" w:hAnsiTheme="minorEastAsia" w:eastAsiaTheme="minorEastAsia"/>
          <w:sz w:val="32"/>
          <w:szCs w:val="32"/>
        </w:rPr>
        <w:t>%。其中：</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3"/>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0.51</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48</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val="zh-CN"/>
        </w:rPr>
        <w:t>主要是学习交流、检查、考核、调研等发生的接待支出。</w:t>
      </w:r>
    </w:p>
    <w:p>
      <w:pPr>
        <w:ind w:firstLine="800" w:firstLineChars="250"/>
        <w:rPr>
          <w:rFonts w:cs="黑体" w:asciiTheme="minorEastAsia" w:hAnsiTheme="minorEastAsia"/>
          <w:b w:val="0"/>
          <w:bCs w:val="0"/>
          <w:color w:val="000000"/>
          <w:kern w:val="0"/>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3.8</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万元。公务用车运行维护费</w:t>
      </w:r>
      <w:r>
        <w:rPr>
          <w:rFonts w:hint="eastAsia" w:asciiTheme="minorEastAsia" w:hAnsiTheme="minorEastAsia"/>
          <w:sz w:val="32"/>
          <w:szCs w:val="32"/>
          <w:lang w:val="en-US" w:eastAsia="zh-CN"/>
        </w:rPr>
        <w:t>3.8</w:t>
      </w:r>
      <w:r>
        <w:rPr>
          <w:rFonts w:hint="eastAsia" w:asciiTheme="minorEastAsia" w:hAnsiTheme="minorEastAsia"/>
          <w:sz w:val="32"/>
          <w:szCs w:val="32"/>
        </w:rPr>
        <w:t>万元，主要是</w:t>
      </w:r>
      <w:r>
        <w:rPr>
          <w:rFonts w:hint="eastAsia" w:asciiTheme="minorEastAsia" w:hAnsiTheme="minorEastAsia"/>
          <w:sz w:val="32"/>
          <w:szCs w:val="32"/>
          <w:lang w:val="en-US" w:eastAsia="zh-CN"/>
        </w:rPr>
        <w:t>我局在用2台车（湘FE8996、湘FA6808）车辆保险费、燃油费、维修维护费等</w:t>
      </w:r>
      <w:r>
        <w:rPr>
          <w:rFonts w:hint="eastAsia" w:asciiTheme="minorEastAsia" w:hAnsiTheme="minorEastAsia"/>
          <w:sz w:val="32"/>
          <w:szCs w:val="32"/>
        </w:rPr>
        <w:t>支出，截止2021年12月31日，我单位开支财政拨款的公务用车保有量为</w:t>
      </w:r>
      <w:r>
        <w:rPr>
          <w:rFonts w:hint="eastAsia" w:asciiTheme="minorEastAsia" w:hAnsiTheme="minorEastAsia"/>
          <w:sz w:val="32"/>
          <w:szCs w:val="32"/>
          <w:lang w:val="en-US" w:eastAsia="zh-CN"/>
        </w:rPr>
        <w:t>2</w:t>
      </w:r>
      <w:r>
        <w:rPr>
          <w:rFonts w:hint="eastAsia" w:asciiTheme="minorEastAsia" w:hAnsiTheme="minorEastAsia"/>
          <w:sz w:val="32"/>
          <w:szCs w:val="32"/>
        </w:rPr>
        <w:t>辆。</w:t>
      </w:r>
    </w:p>
    <w:p>
      <w:pPr>
        <w:pStyle w:val="13"/>
        <w:ind w:firstLine="640" w:firstLineChars="200"/>
        <w:rPr>
          <w:rFonts w:hAnsi="黑体"/>
          <w:b/>
          <w:sz w:val="32"/>
          <w:szCs w:val="32"/>
        </w:rPr>
      </w:pPr>
      <w:r>
        <w:rPr>
          <w:rFonts w:hint="eastAsia" w:hAnsi="黑体"/>
          <w:b/>
          <w:sz w:val="32"/>
          <w:szCs w:val="32"/>
        </w:rPr>
        <w:t>八、政府性基金预算收入支出决算情况</w:t>
      </w:r>
    </w:p>
    <w:p>
      <w:pPr>
        <w:pStyle w:val="13"/>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2021年度</w:t>
      </w:r>
      <w:r>
        <w:rPr>
          <w:rFonts w:hint="eastAsia" w:ascii="宋体" w:hAnsi="宋体" w:eastAsia="宋体"/>
          <w:sz w:val="28"/>
          <w:szCs w:val="28"/>
          <w:lang w:val="zh-CN"/>
        </w:rPr>
        <w:t>本单位无政府性基金收支。</w:t>
      </w:r>
    </w:p>
    <w:p>
      <w:pPr>
        <w:pStyle w:val="13"/>
        <w:numPr>
          <w:ilvl w:val="0"/>
          <w:numId w:val="0"/>
        </w:numPr>
        <w:ind w:firstLine="640" w:firstLineChars="200"/>
        <w:rPr>
          <w:rFonts w:hint="eastAsia" w:hAnsi="黑体"/>
          <w:b/>
          <w:sz w:val="32"/>
          <w:szCs w:val="32"/>
          <w:lang w:eastAsia="zh-CN"/>
        </w:rPr>
      </w:pPr>
      <w:r>
        <w:rPr>
          <w:rFonts w:hint="eastAsia" w:hAnsi="黑体"/>
          <w:b/>
          <w:sz w:val="32"/>
          <w:szCs w:val="32"/>
          <w:lang w:val="en-US" w:eastAsia="zh-CN"/>
        </w:rPr>
        <w:t>九、</w:t>
      </w:r>
      <w:r>
        <w:rPr>
          <w:rFonts w:hint="eastAsia" w:hAnsi="黑体"/>
          <w:b/>
          <w:sz w:val="32"/>
          <w:szCs w:val="32"/>
        </w:rPr>
        <w:t>国有资本经营预算财政拨款支出决算</w:t>
      </w:r>
      <w:r>
        <w:rPr>
          <w:rFonts w:hint="eastAsia" w:hAnsi="黑体"/>
          <w:b/>
          <w:sz w:val="32"/>
          <w:szCs w:val="32"/>
          <w:lang w:eastAsia="zh-CN"/>
        </w:rPr>
        <w:t>情况</w:t>
      </w:r>
    </w:p>
    <w:p>
      <w:pPr>
        <w:pStyle w:val="13"/>
        <w:ind w:firstLine="640" w:firstLineChars="200"/>
        <w:rPr>
          <w:rFonts w:ascii="宋体" w:hAnsi="宋体" w:eastAsia="宋体"/>
          <w:sz w:val="28"/>
          <w:szCs w:val="28"/>
          <w:lang w:val="zh-CN"/>
        </w:rPr>
      </w:pPr>
      <w:r>
        <w:rPr>
          <w:rFonts w:hint="eastAsia" w:asciiTheme="minorEastAsia" w:hAnsiTheme="minorEastAsia" w:eastAsiaTheme="minorEastAsia"/>
          <w:sz w:val="32"/>
          <w:szCs w:val="32"/>
        </w:rPr>
        <w:t>2021年度</w:t>
      </w:r>
      <w:r>
        <w:rPr>
          <w:rFonts w:hint="eastAsia" w:ascii="宋体" w:hAnsi="宋体" w:eastAsia="宋体"/>
          <w:sz w:val="28"/>
          <w:szCs w:val="28"/>
        </w:rPr>
        <w:t>本</w:t>
      </w:r>
      <w:r>
        <w:rPr>
          <w:rFonts w:hint="eastAsia" w:ascii="宋体" w:hAnsi="宋体" w:eastAsia="宋体"/>
          <w:sz w:val="28"/>
          <w:szCs w:val="28"/>
          <w:lang w:val="zh-CN"/>
        </w:rPr>
        <w:t>单位无国有资本经营预算财政拨款支出。</w:t>
      </w:r>
    </w:p>
    <w:p>
      <w:pPr>
        <w:pStyle w:val="13"/>
        <w:ind w:firstLine="640" w:firstLineChars="200"/>
        <w:rPr>
          <w:rFonts w:hAnsi="黑体"/>
          <w:b/>
          <w:sz w:val="32"/>
          <w:szCs w:val="32"/>
        </w:rPr>
      </w:pPr>
      <w:r>
        <w:rPr>
          <w:rFonts w:hint="eastAsia" w:hAnsi="黑体"/>
          <w:b/>
          <w:sz w:val="32"/>
          <w:szCs w:val="32"/>
        </w:rPr>
        <w:t>十、机关运行经费支出说明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w:t>
      </w:r>
      <w:r>
        <w:rPr>
          <w:rFonts w:hint="eastAsia" w:asciiTheme="minorEastAsia" w:hAnsiTheme="minorEastAsia" w:eastAsiaTheme="minorEastAsia"/>
          <w:sz w:val="32"/>
          <w:szCs w:val="32"/>
          <w:lang w:val="en-US" w:eastAsia="zh-CN"/>
        </w:rPr>
        <w:t>42.13</w:t>
      </w:r>
      <w:r>
        <w:rPr>
          <w:rFonts w:hint="eastAsia" w:asciiTheme="minorEastAsia" w:hAnsiTheme="minorEastAsia" w:eastAsiaTheme="minorEastAsia"/>
          <w:sz w:val="32"/>
          <w:szCs w:val="32"/>
        </w:rPr>
        <w:t>万元，比年初预算数增加</w:t>
      </w:r>
      <w:r>
        <w:rPr>
          <w:rFonts w:hint="eastAsia" w:asciiTheme="minorEastAsia" w:hAnsiTheme="minorEastAsia" w:eastAsiaTheme="minorEastAsia"/>
          <w:sz w:val="32"/>
          <w:szCs w:val="32"/>
          <w:lang w:val="en-US" w:eastAsia="zh-CN"/>
        </w:rPr>
        <w:t>8.15</w:t>
      </w:r>
      <w:r>
        <w:rPr>
          <w:rFonts w:hint="eastAsia" w:asciiTheme="minorEastAsia" w:hAnsiTheme="minorEastAsia" w:eastAsiaTheme="minorEastAsia"/>
          <w:sz w:val="32"/>
          <w:szCs w:val="32"/>
        </w:rPr>
        <w:t xml:space="preserve"> 万元，增长</w:t>
      </w:r>
      <w:r>
        <w:rPr>
          <w:rFonts w:hint="eastAsia" w:asciiTheme="minorEastAsia" w:hAnsiTheme="minorEastAsia" w:eastAsiaTheme="minorEastAsia"/>
          <w:sz w:val="32"/>
          <w:szCs w:val="32"/>
          <w:lang w:val="en-US" w:eastAsia="zh-CN"/>
        </w:rPr>
        <w:t>23.98</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val="en-US" w:eastAsia="zh-CN"/>
        </w:rPr>
        <w:t>公务交通补贴</w:t>
      </w:r>
      <w:r>
        <w:rPr>
          <w:rFonts w:hint="eastAsia" w:asciiTheme="minorEastAsia" w:hAnsiTheme="minorEastAsia" w:eastAsiaTheme="minorEastAsia"/>
          <w:sz w:val="32"/>
          <w:szCs w:val="32"/>
        </w:rPr>
        <w:t>年初</w:t>
      </w:r>
      <w:r>
        <w:rPr>
          <w:rFonts w:hint="eastAsia" w:asciiTheme="minorEastAsia" w:hAnsiTheme="minorEastAsia" w:eastAsiaTheme="minorEastAsia"/>
          <w:sz w:val="32"/>
          <w:szCs w:val="32"/>
          <w:lang w:val="en-US" w:eastAsia="zh-CN"/>
        </w:rPr>
        <w:t>预算只有50%。</w:t>
      </w:r>
    </w:p>
    <w:p>
      <w:pPr>
        <w:pStyle w:val="13"/>
        <w:ind w:firstLine="640" w:firstLineChars="200"/>
        <w:rPr>
          <w:rFonts w:hAnsi="黑体"/>
          <w:b/>
          <w:sz w:val="32"/>
          <w:szCs w:val="32"/>
        </w:rPr>
      </w:pPr>
      <w:r>
        <w:rPr>
          <w:rFonts w:hint="eastAsia" w:hAnsi="黑体"/>
          <w:b/>
          <w:sz w:val="32"/>
          <w:szCs w:val="32"/>
        </w:rPr>
        <w:t>十一、一般性支出情况说明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万元；开支培训费</w:t>
      </w:r>
      <w:r>
        <w:rPr>
          <w:rFonts w:hint="eastAsia" w:asciiTheme="minorEastAsia" w:hAnsiTheme="minorEastAsia" w:eastAsiaTheme="minorEastAsia"/>
          <w:sz w:val="32"/>
          <w:szCs w:val="32"/>
          <w:lang w:val="en-US" w:eastAsia="zh-CN"/>
        </w:rPr>
        <w:t>1.64</w:t>
      </w:r>
      <w:r>
        <w:rPr>
          <w:rFonts w:hint="eastAsia" w:asciiTheme="minorEastAsia" w:hAnsiTheme="minorEastAsia" w:eastAsiaTheme="minorEastAsia"/>
          <w:sz w:val="32"/>
          <w:szCs w:val="32"/>
        </w:rPr>
        <w:t>万元，用于开展食品安全知识培训，</w:t>
      </w:r>
      <w:r>
        <w:rPr>
          <w:rFonts w:hint="eastAsia" w:asciiTheme="minorEastAsia" w:hAnsiTheme="minorEastAsia" w:eastAsiaTheme="minorEastAsia"/>
          <w:sz w:val="32"/>
          <w:szCs w:val="32"/>
          <w:lang w:val="en-US" w:eastAsia="zh-CN"/>
        </w:rPr>
        <w:t>参加培训304人次</w:t>
      </w:r>
      <w:r>
        <w:rPr>
          <w:rFonts w:hint="eastAsia" w:asciiTheme="minorEastAsia" w:hAnsiTheme="minorEastAsia" w:eastAsiaTheme="minorEastAsia"/>
          <w:sz w:val="32"/>
          <w:szCs w:val="32"/>
        </w:rPr>
        <w:t>，内容为</w:t>
      </w:r>
      <w:r>
        <w:rPr>
          <w:rFonts w:hint="eastAsia" w:asciiTheme="minorEastAsia" w:hAnsiTheme="minorEastAsia" w:eastAsiaTheme="minorEastAsia"/>
          <w:sz w:val="32"/>
          <w:szCs w:val="32"/>
          <w:lang w:val="zh-CN"/>
        </w:rPr>
        <w:t>开展</w:t>
      </w:r>
      <w:r>
        <w:rPr>
          <w:rFonts w:hint="eastAsia" w:asciiTheme="minorEastAsia" w:hAnsiTheme="minorEastAsia" w:eastAsiaTheme="minorEastAsia"/>
          <w:sz w:val="32"/>
          <w:szCs w:val="32"/>
        </w:rPr>
        <w:t>食品经营户、学校和企业单位食堂的从业人员及负责人的</w:t>
      </w:r>
      <w:r>
        <w:rPr>
          <w:rFonts w:hint="eastAsia" w:asciiTheme="minorEastAsia" w:hAnsiTheme="minorEastAsia" w:eastAsiaTheme="minorEastAsia"/>
          <w:sz w:val="32"/>
          <w:szCs w:val="32"/>
          <w:lang w:val="zh-CN"/>
        </w:rPr>
        <w:t>培训；全年无节庆、晚会、论坛、赛事活动，</w:t>
      </w:r>
      <w:r>
        <w:rPr>
          <w:rFonts w:hint="eastAsia" w:asciiTheme="minorEastAsia" w:hAnsiTheme="minorEastAsia" w:eastAsiaTheme="minorEastAsia"/>
          <w:sz w:val="32"/>
          <w:szCs w:val="32"/>
          <w:lang w:val="en-US" w:eastAsia="zh-CN"/>
        </w:rPr>
        <w:t>开支0万元</w:t>
      </w:r>
      <w:r>
        <w:rPr>
          <w:rFonts w:hint="eastAsia" w:asciiTheme="minorEastAsia" w:hAnsiTheme="minorEastAsia" w:eastAsiaTheme="minorEastAsia"/>
          <w:sz w:val="32"/>
          <w:szCs w:val="32"/>
          <w:lang w:val="zh-CN"/>
        </w:rPr>
        <w:t>。</w:t>
      </w:r>
    </w:p>
    <w:p>
      <w:pPr>
        <w:pStyle w:val="13"/>
        <w:ind w:firstLine="640" w:firstLineChars="200"/>
        <w:rPr>
          <w:rFonts w:hAnsi="黑体"/>
          <w:b/>
          <w:sz w:val="32"/>
          <w:szCs w:val="32"/>
        </w:rPr>
      </w:pPr>
      <w:r>
        <w:rPr>
          <w:rFonts w:hint="eastAsia" w:hAnsi="黑体"/>
          <w:b/>
          <w:sz w:val="32"/>
          <w:szCs w:val="32"/>
        </w:rPr>
        <w:t>十二、政府采购支出说明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105.15</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23.22</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81.93</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105.15</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105.15</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22.08</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77.92</w:t>
      </w:r>
      <w:r>
        <w:rPr>
          <w:rFonts w:hint="eastAsia" w:asciiTheme="minorEastAsia" w:hAnsiTheme="minorEastAsia" w:eastAsiaTheme="minorEastAsia"/>
          <w:sz w:val="32"/>
          <w:szCs w:val="32"/>
        </w:rPr>
        <w:t>%。</w:t>
      </w:r>
    </w:p>
    <w:p>
      <w:pPr>
        <w:pStyle w:val="13"/>
        <w:ind w:firstLine="640" w:firstLineChars="200"/>
        <w:rPr>
          <w:rFonts w:hAnsi="黑体"/>
          <w:b/>
          <w:sz w:val="32"/>
          <w:szCs w:val="32"/>
        </w:rPr>
      </w:pPr>
      <w:r>
        <w:rPr>
          <w:rFonts w:hint="eastAsia" w:hAnsi="黑体"/>
          <w:b/>
          <w:sz w:val="32"/>
          <w:szCs w:val="32"/>
        </w:rPr>
        <w:t>十三、国有资产占用情况说明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年12月31日，本单位共有车辆</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3"/>
        <w:ind w:firstLine="640" w:firstLineChars="200"/>
        <w:rPr>
          <w:rFonts w:hint="eastAsia"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pStyle w:val="13"/>
        <w:ind w:firstLine="640" w:firstLineChars="200"/>
        <w:rPr>
          <w:rFonts w:hint="default" w:asciiTheme="minorEastAsia" w:hAnsiTheme="minorEastAsia" w:eastAsiaTheme="minorEastAsia" w:cstheme="minorEastAsia"/>
          <w:color w:val="auto"/>
          <w:sz w:val="32"/>
          <w:szCs w:val="32"/>
          <w:lang w:val="en-US" w:eastAsia="zh-CN"/>
        </w:rPr>
      </w:pPr>
      <w:r>
        <w:rPr>
          <w:rFonts w:hint="eastAsia" w:asciiTheme="minorEastAsia" w:hAnsiTheme="minorEastAsia" w:eastAsiaTheme="minorEastAsia" w:cstheme="minorEastAsia"/>
          <w:color w:val="auto"/>
          <w:sz w:val="32"/>
          <w:szCs w:val="32"/>
          <w:lang w:eastAsia="zh-CN"/>
        </w:rPr>
        <w:t>岳阳市城陵矶新港区分局为岳阳市市场监督管理局所属二级机构，</w:t>
      </w:r>
      <w:r>
        <w:rPr>
          <w:rFonts w:hint="eastAsia" w:asciiTheme="minorEastAsia" w:hAnsiTheme="minorEastAsia" w:eastAsiaTheme="minorEastAsia" w:cstheme="minorEastAsia"/>
          <w:color w:val="auto"/>
          <w:sz w:val="32"/>
          <w:szCs w:val="32"/>
          <w:lang w:val="en-US" w:eastAsia="zh-CN"/>
        </w:rPr>
        <w:t>2021年部门整体及项目绩效评价按要求由部门作汇总绩效评价，2021年单位预算绩效情况见附件岳阳市市场监督管局部门整体绩效评价报告。</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hint="default" w:cs="黑体" w:asciiTheme="minorEastAsia" w:hAnsiTheme="minorEastAsia" w:eastAsiaTheme="minorEastAsia"/>
          <w:color w:val="000000"/>
          <w:kern w:val="0"/>
          <w:sz w:val="32"/>
          <w:szCs w:val="32"/>
          <w:lang w:val="en-US" w:eastAsia="zh-CN" w:bidi="ar-SA"/>
        </w:rPr>
      </w:pPr>
    </w:p>
    <w:p>
      <w:pPr>
        <w:autoSpaceDE w:val="0"/>
        <w:autoSpaceDN w:val="0"/>
        <w:adjustRightInd w:val="0"/>
        <w:ind w:firstLine="720" w:firstLineChars="200"/>
        <w:jc w:val="left"/>
        <w:rPr>
          <w:rFonts w:hint="eastAsia" w:cs="黑体" w:asciiTheme="minorEastAsia" w:hAnsiTheme="minorEastAsia" w:eastAsiaTheme="minorEastAsia"/>
          <w:b/>
          <w:bCs/>
          <w:i/>
          <w:iCs/>
          <w:color w:val="FF0000"/>
          <w:kern w:val="0"/>
          <w:sz w:val="36"/>
          <w:szCs w:val="36"/>
          <w:lang w:eastAsia="zh-CN"/>
        </w:rPr>
      </w:pPr>
    </w:p>
    <w:p>
      <w:pPr>
        <w:pStyle w:val="13"/>
        <w:ind w:firstLine="640" w:firstLineChars="200"/>
        <w:rPr>
          <w:rFonts w:hint="eastAsia" w:asciiTheme="minorEastAsia" w:hAnsiTheme="minorEastAsia" w:eastAsiaTheme="minorEastAsia"/>
          <w:sz w:val="32"/>
          <w:szCs w:val="32"/>
        </w:rPr>
      </w:pPr>
    </w:p>
    <w:p>
      <w:pPr>
        <w:pStyle w:val="13"/>
        <w:jc w:val="both"/>
        <w:rPr>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sz w:val="44"/>
          <w:szCs w:val="44"/>
        </w:rPr>
      </w:pPr>
      <w:r>
        <w:rPr>
          <w:rFonts w:hint="eastAsia"/>
          <w:sz w:val="44"/>
          <w:szCs w:val="44"/>
        </w:rPr>
        <w:t>第四部分</w:t>
      </w:r>
    </w:p>
    <w:p>
      <w:pPr>
        <w:jc w:val="center"/>
        <w:rPr>
          <w:rFonts w:ascii="黑体" w:eastAsia="黑体" w:cs="黑体"/>
          <w:color w:val="000000"/>
          <w:kern w:val="0"/>
          <w:sz w:val="44"/>
          <w:szCs w:val="44"/>
        </w:rPr>
      </w:pPr>
    </w:p>
    <w:p>
      <w:pPr>
        <w:jc w:val="center"/>
        <w:rPr>
          <w:rFonts w:ascii="黑体" w:eastAsia="黑体" w:cs="黑体"/>
          <w:color w:val="000000"/>
          <w:kern w:val="0"/>
          <w:sz w:val="44"/>
          <w:szCs w:val="44"/>
        </w:rPr>
      </w:pPr>
      <w:r>
        <w:rPr>
          <w:rFonts w:hint="eastAsia" w:ascii="黑体" w:eastAsia="黑体" w:cs="黑体"/>
          <w:color w:val="000000"/>
          <w:kern w:val="0"/>
          <w:sz w:val="44"/>
          <w:szCs w:val="44"/>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二、机关运行经费</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是指各部门的公用经费，包括办公</w:t>
      </w:r>
      <w:r>
        <w:rPr>
          <w:rFonts w:hint="eastAsia" w:cs="黑体" w:asciiTheme="minorEastAsia" w:hAnsiTheme="minorEastAsia"/>
          <w:color w:val="000000"/>
          <w:kern w:val="0"/>
          <w:sz w:val="32"/>
          <w:szCs w:val="32"/>
          <w:lang w:val="en-US" w:eastAsia="zh-CN"/>
        </w:rPr>
        <w:t>费</w:t>
      </w:r>
      <w:r>
        <w:rPr>
          <w:rFonts w:hint="eastAsia" w:cs="黑体" w:asciiTheme="minorEastAsia" w:hAnsiTheme="minorEastAsia"/>
          <w:color w:val="000000"/>
          <w:kern w:val="0"/>
          <w:sz w:val="32"/>
          <w:szCs w:val="32"/>
        </w:rPr>
        <w:t>及印刷费、</w:t>
      </w:r>
      <w:r>
        <w:rPr>
          <w:rFonts w:hint="eastAsia" w:cs="黑体" w:asciiTheme="minorEastAsia" w:hAnsiTheme="minorEastAsia"/>
          <w:color w:val="000000"/>
          <w:kern w:val="0"/>
          <w:sz w:val="32"/>
          <w:szCs w:val="32"/>
          <w:lang w:val="en-US" w:eastAsia="zh-CN"/>
        </w:rPr>
        <w:t>咨询费、</w:t>
      </w:r>
      <w:r>
        <w:rPr>
          <w:rFonts w:hint="eastAsia" w:cs="黑体" w:asciiTheme="minorEastAsia" w:hAnsiTheme="minorEastAsia"/>
          <w:color w:val="000000"/>
          <w:kern w:val="0"/>
          <w:sz w:val="32"/>
          <w:szCs w:val="32"/>
        </w:rPr>
        <w:t>邮电费、差旅费、会议费、福利费、</w:t>
      </w:r>
      <w:r>
        <w:rPr>
          <w:rFonts w:hint="eastAsia" w:cs="黑体" w:asciiTheme="minorEastAsia" w:hAnsiTheme="minorEastAsia"/>
          <w:color w:val="000000"/>
          <w:kern w:val="0"/>
          <w:sz w:val="32"/>
          <w:szCs w:val="32"/>
          <w:lang w:val="en-US" w:eastAsia="zh-CN"/>
        </w:rPr>
        <w:t>公务接待费、</w:t>
      </w:r>
      <w:r>
        <w:rPr>
          <w:rFonts w:hint="eastAsia" w:cs="黑体" w:asciiTheme="minorEastAsia" w:hAnsiTheme="minorEastAsia"/>
          <w:color w:val="000000"/>
          <w:kern w:val="0"/>
          <w:sz w:val="32"/>
          <w:szCs w:val="32"/>
        </w:rPr>
        <w:t>日常维修费、</w:t>
      </w:r>
      <w:r>
        <w:rPr>
          <w:rFonts w:hint="eastAsia" w:cs="黑体" w:asciiTheme="minorEastAsia" w:hAnsiTheme="minorEastAsia"/>
          <w:color w:val="000000"/>
          <w:kern w:val="0"/>
          <w:sz w:val="32"/>
          <w:szCs w:val="32"/>
          <w:lang w:val="en-US" w:eastAsia="zh-CN"/>
        </w:rPr>
        <w:t>租赁费、委托业务费、</w:t>
      </w:r>
      <w:r>
        <w:rPr>
          <w:rFonts w:hint="eastAsia" w:cs="黑体" w:asciiTheme="minorEastAsia" w:hAnsiTheme="minorEastAsia"/>
          <w:color w:val="000000"/>
          <w:kern w:val="0"/>
          <w:sz w:val="32"/>
          <w:szCs w:val="32"/>
        </w:rPr>
        <w:t>专用材料及一般设备购置费、办公用房水电费、办公用房取暖费、办公用房物业管理费、</w:t>
      </w:r>
      <w:r>
        <w:rPr>
          <w:rFonts w:hint="eastAsia" w:cs="黑体" w:asciiTheme="minorEastAsia" w:hAnsiTheme="minorEastAsia"/>
          <w:color w:val="000000"/>
          <w:kern w:val="0"/>
          <w:sz w:val="32"/>
          <w:szCs w:val="32"/>
          <w:lang w:val="en-US" w:eastAsia="zh-CN"/>
        </w:rPr>
        <w:t>工会经费、</w:t>
      </w:r>
      <w:r>
        <w:rPr>
          <w:rFonts w:hint="eastAsia" w:cs="黑体" w:asciiTheme="minorEastAsia" w:hAnsiTheme="minorEastAsia"/>
          <w:color w:val="000000"/>
          <w:kern w:val="0"/>
          <w:sz w:val="32"/>
          <w:szCs w:val="32"/>
        </w:rPr>
        <w:t>公务用车运行维护费</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lang w:val="en-US" w:eastAsia="zh-CN"/>
        </w:rPr>
        <w:t>交通费</w:t>
      </w:r>
      <w:r>
        <w:rPr>
          <w:rFonts w:hint="eastAsia" w:cs="黑体" w:asciiTheme="minorEastAsia" w:hAnsiTheme="minorEastAsia"/>
          <w:color w:val="000000"/>
          <w:kern w:val="0"/>
          <w:sz w:val="32"/>
          <w:szCs w:val="32"/>
        </w:rPr>
        <w:t>以及其他费用。</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三、财政拨款收入：是指市级财政当年拨付的资金。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四</w:t>
      </w:r>
      <w:r>
        <w:rPr>
          <w:rFonts w:hint="eastAsia" w:cs="黑体" w:asciiTheme="minorEastAsia" w:hAnsiTheme="minorEastAsia"/>
          <w:color w:val="000000"/>
          <w:kern w:val="0"/>
          <w:sz w:val="32"/>
          <w:szCs w:val="32"/>
        </w:rPr>
        <w:t>、年初结转和结余：是指以前年度支出预算因客观条件变化未执行完毕、结转到本年度按有关规定继续使用的资金。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五</w:t>
      </w:r>
      <w:r>
        <w:rPr>
          <w:rFonts w:hint="eastAsia" w:cs="黑体" w:asciiTheme="minorEastAsia" w:hAnsiTheme="minorEastAsia"/>
          <w:color w:val="000000"/>
          <w:kern w:val="0"/>
          <w:sz w:val="32"/>
          <w:szCs w:val="32"/>
        </w:rPr>
        <w:t>、基本支出：是指为保障机构正常运转、完成日常工作任务所必需的开支，其内容包括人员经费和日常公用经费两部分。</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六</w:t>
      </w:r>
      <w:r>
        <w:rPr>
          <w:rFonts w:hint="eastAsia" w:cs="黑体" w:asciiTheme="minorEastAsia" w:hAnsiTheme="minorEastAsia"/>
          <w:color w:val="000000"/>
          <w:kern w:val="0"/>
          <w:sz w:val="32"/>
          <w:szCs w:val="32"/>
        </w:rPr>
        <w:t>、项目支出：是指在基本支出之外，为完成特定的行政工作任务或事业发展目标所发生的支出。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七</w:t>
      </w:r>
      <w:r>
        <w:rPr>
          <w:rFonts w:hint="eastAsia" w:cs="黑体" w:asciiTheme="minorEastAsia" w:hAnsiTheme="minorEastAsia"/>
          <w:color w:val="000000"/>
          <w:kern w:val="0"/>
          <w:sz w:val="32"/>
          <w:szCs w:val="32"/>
        </w:rPr>
        <w:t>、一般公共服务（类）：是指用于保障机构正常运行、开展业务等活动的支出。行政运行（项）：是指为保障市委政法委各行政机构正常运转、完成日常工作任务安排的支出。</w:t>
      </w:r>
    </w:p>
    <w:p>
      <w:pPr>
        <w:widowControl/>
        <w:jc w:val="left"/>
        <w:rPr>
          <w:rFonts w:eastAsia="黑体" w:cs="黑体" w:asciiTheme="minorEastAsia" w:hAnsiTheme="minorEastAsia"/>
          <w:color w:val="000000"/>
          <w:kern w:val="0"/>
          <w:sz w:val="28"/>
          <w:szCs w:val="3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both"/>
        <w:rPr>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44"/>
          <w:szCs w:val="44"/>
        </w:rPr>
      </w:pPr>
    </w:p>
    <w:p>
      <w:pPr>
        <w:pStyle w:val="13"/>
        <w:jc w:val="center"/>
        <w:rPr>
          <w:sz w:val="44"/>
          <w:szCs w:val="44"/>
        </w:rPr>
      </w:pPr>
      <w:r>
        <w:rPr>
          <w:rFonts w:hint="eastAsia"/>
          <w:sz w:val="44"/>
          <w:szCs w:val="44"/>
        </w:rPr>
        <w:t>第五部分</w:t>
      </w:r>
    </w:p>
    <w:p>
      <w:pPr>
        <w:jc w:val="center"/>
        <w:rPr>
          <w:rFonts w:ascii="黑体" w:eastAsia="黑体" w:cs="黑体"/>
          <w:color w:val="000000"/>
          <w:kern w:val="0"/>
          <w:sz w:val="44"/>
          <w:szCs w:val="44"/>
        </w:rPr>
      </w:pPr>
    </w:p>
    <w:p>
      <w:pPr>
        <w:jc w:val="center"/>
        <w:rPr>
          <w:rFonts w:ascii="黑体" w:eastAsia="黑体" w:cs="黑体"/>
          <w:color w:val="000000"/>
          <w:kern w:val="0"/>
          <w:sz w:val="44"/>
          <w:szCs w:val="44"/>
        </w:rPr>
      </w:pPr>
      <w:r>
        <w:rPr>
          <w:rFonts w:hint="eastAsia" w:ascii="黑体" w:eastAsia="黑体" w:cs="黑体"/>
          <w:color w:val="000000"/>
          <w:kern w:val="0"/>
          <w:sz w:val="44"/>
          <w:szCs w:val="44"/>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sectPr>
          <w:pgSz w:w="11906" w:h="16838"/>
          <w:pgMar w:top="1440" w:right="1800" w:bottom="1440" w:left="1800" w:header="851" w:footer="992" w:gutter="0"/>
          <w:cols w:space="425" w:num="1"/>
          <w:docGrid w:type="linesAndChars" w:linePitch="312" w:charSpace="0"/>
        </w:sectPr>
      </w:pPr>
    </w:p>
    <w:p/>
    <w:p>
      <w:pPr>
        <w:keepNext w:val="0"/>
        <w:keepLines w:val="0"/>
        <w:widowControl/>
        <w:suppressLineNumbers w:val="0"/>
        <w:jc w:val="center"/>
        <w:textAlignment w:val="bottom"/>
        <w:rPr>
          <w:rFonts w:hint="eastAsia" w:ascii="方正小标宋_GBK" w:hAnsi="方正小标宋_GBK" w:eastAsia="方正小标宋_GBK" w:cs="方正小标宋_GBK"/>
          <w:i w:val="0"/>
          <w:iCs w:val="0"/>
          <w:color w:val="000000"/>
          <w:kern w:val="0"/>
          <w:sz w:val="36"/>
          <w:szCs w:val="36"/>
          <w:u w:val="none"/>
          <w:lang w:val="en-US" w:eastAsia="zh-CN" w:bidi="ar"/>
        </w:rPr>
      </w:pPr>
    </w:p>
    <w:tbl>
      <w:tblPr>
        <w:tblStyle w:val="9"/>
        <w:tblW w:w="1407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60"/>
        <w:gridCol w:w="845"/>
        <w:gridCol w:w="1109"/>
        <w:gridCol w:w="4277"/>
        <w:gridCol w:w="845"/>
        <w:gridCol w:w="21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15100" w:type="dxa"/>
            <w:gridSpan w:val="6"/>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方正小标宋_GBK" w:hAnsi="方正小标宋_GBK" w:eastAsia="方正小标宋_GBK" w:cs="方正小标宋_GBK"/>
                <w:i w:val="0"/>
                <w:iCs w:val="0"/>
                <w:color w:val="000000"/>
                <w:kern w:val="0"/>
                <w:sz w:val="36"/>
                <w:szCs w:val="36"/>
                <w:highlight w:val="none"/>
                <w:u w:val="none"/>
                <w:lang w:val="en-US" w:eastAsia="zh-CN" w:bidi="ar"/>
              </w:rPr>
            </w:pPr>
            <w:r>
              <w:rPr>
                <w:rFonts w:hint="eastAsia" w:ascii="方正小标宋_GBK" w:hAnsi="方正小标宋_GBK" w:eastAsia="方正小标宋_GBK" w:cs="方正小标宋_GBK"/>
                <w:i w:val="0"/>
                <w:iCs w:val="0"/>
                <w:color w:val="000000"/>
                <w:kern w:val="0"/>
                <w:sz w:val="36"/>
                <w:szCs w:val="36"/>
                <w:highlight w:val="none"/>
                <w:u w:val="none"/>
                <w:lang w:val="en-US" w:eastAsia="zh-CN" w:bidi="ar"/>
              </w:rPr>
              <w:t>收入支出决算总表</w:t>
            </w:r>
          </w:p>
          <w:p>
            <w:pPr>
              <w:keepNext w:val="0"/>
              <w:keepLines w:val="0"/>
              <w:widowControl/>
              <w:suppressLineNumbers w:val="0"/>
              <w:jc w:val="center"/>
              <w:textAlignment w:val="bottom"/>
              <w:rPr>
                <w:rFonts w:hint="eastAsia" w:ascii="方正小标宋_GBK" w:hAnsi="方正小标宋_GBK" w:eastAsia="方正小标宋_GBK" w:cs="方正小标宋_GBK"/>
                <w:i w:val="0"/>
                <w:iCs w:val="0"/>
                <w:color w:val="000000"/>
                <w:kern w:val="0"/>
                <w:sz w:val="36"/>
                <w:szCs w:val="36"/>
                <w:highlight w:val="none"/>
                <w:u w:val="none"/>
                <w:lang w:val="en-US" w:eastAsia="zh-CN" w:bidi="ar"/>
              </w:rPr>
            </w:pPr>
            <w:r>
              <w:rPr>
                <w:rFonts w:hint="eastAsia"/>
                <w:highlight w:val="none"/>
                <w:lang w:val="en-US" w:eastAsia="zh-CN"/>
              </w:rPr>
              <w:t xml:space="preserve">                                                                                                                               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部门：岳阳市市场监督管理局城陵矶新港区分局</w:t>
            </w: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highlight w:val="none"/>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highlight w:val="none"/>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highlight w:val="none"/>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18"/>
                <w:szCs w:val="18"/>
                <w:highlight w:val="none"/>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行次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金额</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行次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栏次</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栏次</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288.20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307.75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二、外交支出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33</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三、国防支出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34</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四、上级补助收入</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四、公共安全支出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五、事业收入</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五、教育支出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36</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六、经营收入</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六、科学技术支出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37</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38</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八、其他收入</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11.43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九、卫生健康支出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十、节能环保支出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41</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42</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十二、农林水支出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43</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44</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46</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十六、金融支出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47</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48</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49</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19</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51</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21</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52</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53</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二十三、其他支出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54</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55</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56</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26</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57</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本年收入合计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27</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299.63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本年支出合计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58</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344.62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结余分配</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59</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年初结转和结余</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29</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56.33</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年末结转和结余</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0" w:type="auto"/>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61</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总计</w:t>
            </w:r>
          </w:p>
        </w:tc>
        <w:tc>
          <w:tcPr>
            <w:tcW w:w="0" w:type="auto"/>
            <w:tcBorders>
              <w:top w:val="nil"/>
              <w:left w:val="nil"/>
              <w:bottom w:val="single" w:color="000000" w:sz="8"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31</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355.95</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总计</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62</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355.95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gridSpan w:val="6"/>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注：本表反映部门本年度的总收支和年末结转结余情况。本套报表金额单位转换时可能存在尾数误差。</w:t>
            </w:r>
          </w:p>
        </w:tc>
      </w:tr>
    </w:tbl>
    <w:p/>
    <w:tbl>
      <w:tblPr>
        <w:tblStyle w:val="9"/>
        <w:tblpPr w:leftFromText="180" w:rightFromText="180" w:vertAnchor="text" w:horzAnchor="page" w:tblpXSpec="center" w:tblpY="310"/>
        <w:tblOverlap w:val="never"/>
        <w:tblW w:w="1521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78"/>
        <w:gridCol w:w="222"/>
        <w:gridCol w:w="222"/>
        <w:gridCol w:w="3500"/>
        <w:gridCol w:w="1224"/>
        <w:gridCol w:w="1224"/>
        <w:gridCol w:w="719"/>
        <w:gridCol w:w="805"/>
        <w:gridCol w:w="793"/>
        <w:gridCol w:w="781"/>
        <w:gridCol w:w="14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1" w:hRule="atLeast"/>
          <w:jc w:val="center"/>
        </w:trPr>
        <w:tc>
          <w:tcPr>
            <w:tcW w:w="15217" w:type="dxa"/>
            <w:gridSpan w:val="11"/>
            <w:tcBorders>
              <w:top w:val="nil"/>
              <w:left w:val="nil"/>
              <w:bottom w:val="nil"/>
              <w:right w:val="nil"/>
            </w:tcBorders>
            <w:shd w:val="clear" w:color="auto" w:fill="auto"/>
            <w:noWrap/>
            <w:vAlign w:val="bottom"/>
          </w:tcPr>
          <w:p>
            <w:pPr>
              <w:jc w:val="center"/>
              <w:rPr>
                <w:rFonts w:hint="eastAsia"/>
              </w:rPr>
            </w:pPr>
            <w:r>
              <w:rPr>
                <w:rFonts w:hint="eastAsia" w:ascii="方正小标宋_GBK" w:hAnsi="方正小标宋_GBK" w:eastAsia="方正小标宋_GBK" w:cs="方正小标宋_GBK"/>
                <w:i w:val="0"/>
                <w:iCs w:val="0"/>
                <w:color w:val="000000"/>
                <w:kern w:val="0"/>
                <w:sz w:val="36"/>
                <w:szCs w:val="36"/>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jc w:val="center"/>
        </w:trPr>
        <w:tc>
          <w:tcPr>
            <w:tcW w:w="4278" w:type="dxa"/>
            <w:tcBorders>
              <w:top w:val="nil"/>
              <w:left w:val="nil"/>
              <w:bottom w:val="nil"/>
              <w:right w:val="nil"/>
            </w:tcBorders>
            <w:shd w:val="clear" w:color="auto" w:fill="auto"/>
            <w:noWrap/>
            <w:vAlign w:val="bottom"/>
          </w:tcPr>
          <w:p>
            <w:pPr>
              <w:rPr>
                <w:rFonts w:hint="eastAsia"/>
              </w:rPr>
            </w:pPr>
          </w:p>
        </w:tc>
        <w:tc>
          <w:tcPr>
            <w:tcW w:w="222" w:type="dxa"/>
            <w:tcBorders>
              <w:top w:val="nil"/>
              <w:left w:val="nil"/>
              <w:bottom w:val="nil"/>
              <w:right w:val="nil"/>
            </w:tcBorders>
            <w:shd w:val="clear" w:color="auto" w:fill="auto"/>
            <w:noWrap/>
            <w:vAlign w:val="bottom"/>
          </w:tcPr>
          <w:p>
            <w:pPr>
              <w:rPr>
                <w:rFonts w:hint="default"/>
              </w:rPr>
            </w:pPr>
          </w:p>
        </w:tc>
        <w:tc>
          <w:tcPr>
            <w:tcW w:w="222" w:type="dxa"/>
            <w:tcBorders>
              <w:top w:val="nil"/>
              <w:left w:val="nil"/>
              <w:bottom w:val="nil"/>
              <w:right w:val="nil"/>
            </w:tcBorders>
            <w:shd w:val="clear" w:color="auto" w:fill="auto"/>
            <w:noWrap/>
            <w:vAlign w:val="bottom"/>
          </w:tcPr>
          <w:p>
            <w:pPr>
              <w:rPr>
                <w:rFonts w:hint="default"/>
              </w:rPr>
            </w:pPr>
          </w:p>
        </w:tc>
        <w:tc>
          <w:tcPr>
            <w:tcW w:w="3500" w:type="dxa"/>
            <w:tcBorders>
              <w:top w:val="nil"/>
              <w:left w:val="nil"/>
              <w:bottom w:val="nil"/>
              <w:right w:val="nil"/>
            </w:tcBorders>
            <w:shd w:val="clear" w:color="auto" w:fill="auto"/>
            <w:noWrap/>
            <w:vAlign w:val="bottom"/>
          </w:tcPr>
          <w:p>
            <w:pPr>
              <w:rPr>
                <w:rFonts w:hint="default"/>
              </w:rPr>
            </w:pPr>
          </w:p>
        </w:tc>
        <w:tc>
          <w:tcPr>
            <w:tcW w:w="1224" w:type="dxa"/>
            <w:tcBorders>
              <w:top w:val="nil"/>
              <w:left w:val="nil"/>
              <w:bottom w:val="nil"/>
              <w:right w:val="nil"/>
            </w:tcBorders>
            <w:shd w:val="clear" w:color="auto" w:fill="auto"/>
            <w:noWrap/>
            <w:vAlign w:val="bottom"/>
          </w:tcPr>
          <w:p>
            <w:pPr>
              <w:rPr>
                <w:rFonts w:hint="default"/>
              </w:rPr>
            </w:pPr>
          </w:p>
        </w:tc>
        <w:tc>
          <w:tcPr>
            <w:tcW w:w="1224" w:type="dxa"/>
            <w:tcBorders>
              <w:top w:val="nil"/>
              <w:left w:val="nil"/>
              <w:bottom w:val="nil"/>
              <w:right w:val="nil"/>
            </w:tcBorders>
            <w:shd w:val="clear" w:color="auto" w:fill="auto"/>
            <w:noWrap/>
            <w:vAlign w:val="bottom"/>
          </w:tcPr>
          <w:p>
            <w:pPr>
              <w:rPr>
                <w:rFonts w:hint="default"/>
              </w:rPr>
            </w:pPr>
          </w:p>
        </w:tc>
        <w:tc>
          <w:tcPr>
            <w:tcW w:w="719" w:type="dxa"/>
            <w:tcBorders>
              <w:top w:val="nil"/>
              <w:left w:val="nil"/>
              <w:bottom w:val="nil"/>
              <w:right w:val="nil"/>
            </w:tcBorders>
            <w:shd w:val="clear" w:color="auto" w:fill="auto"/>
            <w:noWrap/>
            <w:vAlign w:val="bottom"/>
          </w:tcPr>
          <w:p>
            <w:pPr>
              <w:rPr>
                <w:rFonts w:hint="default"/>
              </w:rPr>
            </w:pPr>
          </w:p>
        </w:tc>
        <w:tc>
          <w:tcPr>
            <w:tcW w:w="805" w:type="dxa"/>
            <w:tcBorders>
              <w:top w:val="nil"/>
              <w:left w:val="nil"/>
              <w:bottom w:val="nil"/>
              <w:right w:val="nil"/>
            </w:tcBorders>
            <w:shd w:val="clear" w:color="auto" w:fill="auto"/>
            <w:noWrap/>
            <w:vAlign w:val="bottom"/>
          </w:tcPr>
          <w:p>
            <w:pPr>
              <w:rPr>
                <w:rFonts w:hint="default"/>
              </w:rPr>
            </w:pPr>
          </w:p>
        </w:tc>
        <w:tc>
          <w:tcPr>
            <w:tcW w:w="793" w:type="dxa"/>
            <w:tcBorders>
              <w:top w:val="nil"/>
              <w:left w:val="nil"/>
              <w:bottom w:val="nil"/>
              <w:right w:val="nil"/>
            </w:tcBorders>
            <w:shd w:val="clear" w:color="auto" w:fill="auto"/>
            <w:noWrap/>
            <w:vAlign w:val="bottom"/>
          </w:tcPr>
          <w:p>
            <w:pPr>
              <w:rPr>
                <w:rFonts w:hint="default"/>
              </w:rPr>
            </w:pPr>
          </w:p>
        </w:tc>
        <w:tc>
          <w:tcPr>
            <w:tcW w:w="781" w:type="dxa"/>
            <w:tcBorders>
              <w:top w:val="nil"/>
              <w:left w:val="nil"/>
              <w:bottom w:val="nil"/>
              <w:right w:val="nil"/>
            </w:tcBorders>
            <w:shd w:val="clear" w:color="auto" w:fill="auto"/>
            <w:noWrap/>
            <w:vAlign w:val="bottom"/>
          </w:tcPr>
          <w:p>
            <w:pPr>
              <w:rPr>
                <w:rFonts w:hint="default"/>
              </w:rPr>
            </w:pPr>
          </w:p>
        </w:tc>
        <w:tc>
          <w:tcPr>
            <w:tcW w:w="1449" w:type="dxa"/>
            <w:tcBorders>
              <w:top w:val="nil"/>
              <w:left w:val="nil"/>
              <w:bottom w:val="nil"/>
              <w:right w:val="nil"/>
            </w:tcBorders>
            <w:shd w:val="clear" w:color="auto" w:fill="auto"/>
            <w:noWrap/>
            <w:vAlign w:val="bottom"/>
          </w:tcPr>
          <w:p>
            <w:pPr>
              <w:rPr>
                <w:rFonts w:hint="eastAsia"/>
              </w:rPr>
            </w:pPr>
            <w:r>
              <w:rPr>
                <w:rFonts w:hint="eastAsia"/>
                <w:lang w:val="en-US" w:eastAsia="zh-CN"/>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8222" w:type="dxa"/>
            <w:gridSpan w:val="4"/>
            <w:tcBorders>
              <w:top w:val="nil"/>
              <w:left w:val="nil"/>
              <w:bottom w:val="nil"/>
              <w:right w:val="nil"/>
            </w:tcBorders>
            <w:shd w:val="clear" w:color="auto" w:fill="auto"/>
            <w:noWrap/>
            <w:vAlign w:val="bottom"/>
          </w:tcPr>
          <w:p>
            <w:pPr>
              <w:rPr>
                <w:rFonts w:hint="default"/>
              </w:rPr>
            </w:pPr>
            <w:r>
              <w:rPr>
                <w:rFonts w:hint="eastAsia"/>
                <w:lang w:val="en-US" w:eastAsia="zh-CN"/>
              </w:rPr>
              <w:t>部门：岳阳市市场监督管理局城陵矶新港区分局</w:t>
            </w:r>
          </w:p>
        </w:tc>
        <w:tc>
          <w:tcPr>
            <w:tcW w:w="1224" w:type="dxa"/>
            <w:tcBorders>
              <w:top w:val="nil"/>
              <w:left w:val="nil"/>
              <w:bottom w:val="nil"/>
              <w:right w:val="nil"/>
            </w:tcBorders>
            <w:shd w:val="clear" w:color="auto" w:fill="auto"/>
            <w:noWrap/>
            <w:vAlign w:val="bottom"/>
          </w:tcPr>
          <w:p>
            <w:pPr>
              <w:rPr>
                <w:rFonts w:hint="default"/>
              </w:rPr>
            </w:pPr>
          </w:p>
        </w:tc>
        <w:tc>
          <w:tcPr>
            <w:tcW w:w="1224" w:type="dxa"/>
            <w:tcBorders>
              <w:top w:val="nil"/>
              <w:left w:val="nil"/>
              <w:bottom w:val="nil"/>
              <w:right w:val="nil"/>
            </w:tcBorders>
            <w:shd w:val="clear" w:color="auto" w:fill="auto"/>
            <w:noWrap/>
            <w:vAlign w:val="bottom"/>
          </w:tcPr>
          <w:p>
            <w:pPr>
              <w:rPr>
                <w:rFonts w:hint="default"/>
              </w:rPr>
            </w:pPr>
          </w:p>
        </w:tc>
        <w:tc>
          <w:tcPr>
            <w:tcW w:w="719" w:type="dxa"/>
            <w:tcBorders>
              <w:top w:val="nil"/>
              <w:left w:val="nil"/>
              <w:bottom w:val="nil"/>
              <w:right w:val="nil"/>
            </w:tcBorders>
            <w:shd w:val="clear" w:color="auto" w:fill="auto"/>
            <w:noWrap/>
            <w:vAlign w:val="bottom"/>
          </w:tcPr>
          <w:p>
            <w:pPr>
              <w:rPr>
                <w:rFonts w:hint="default"/>
              </w:rPr>
            </w:pPr>
          </w:p>
        </w:tc>
        <w:tc>
          <w:tcPr>
            <w:tcW w:w="805" w:type="dxa"/>
            <w:tcBorders>
              <w:top w:val="nil"/>
              <w:left w:val="nil"/>
              <w:bottom w:val="nil"/>
              <w:right w:val="nil"/>
            </w:tcBorders>
            <w:shd w:val="clear" w:color="auto" w:fill="auto"/>
            <w:noWrap/>
            <w:vAlign w:val="bottom"/>
          </w:tcPr>
          <w:p>
            <w:pPr>
              <w:jc w:val="right"/>
              <w:rPr>
                <w:rFonts w:hint="default"/>
              </w:rPr>
            </w:pPr>
          </w:p>
        </w:tc>
        <w:tc>
          <w:tcPr>
            <w:tcW w:w="3023" w:type="dxa"/>
            <w:gridSpan w:val="3"/>
            <w:tcBorders>
              <w:top w:val="nil"/>
              <w:left w:val="nil"/>
              <w:bottom w:val="nil"/>
              <w:right w:val="nil"/>
            </w:tcBorders>
            <w:shd w:val="clear" w:color="auto" w:fill="auto"/>
            <w:noWrap/>
            <w:vAlign w:val="bottom"/>
          </w:tcPr>
          <w:p>
            <w:pPr>
              <w:jc w:val="right"/>
              <w:rPr>
                <w:rFonts w:hint="eastAsia"/>
              </w:rPr>
            </w:pPr>
            <w:r>
              <w:rPr>
                <w:rFonts w:hint="eastAsia"/>
                <w:lang w:val="en-US" w:eastAsia="zh-CN"/>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8222"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项目</w:t>
            </w:r>
          </w:p>
        </w:tc>
        <w:tc>
          <w:tcPr>
            <w:tcW w:w="1224" w:type="dxa"/>
            <w:vMerge w:val="restart"/>
            <w:tcBorders>
              <w:top w:val="single" w:color="000000" w:sz="4" w:space="0"/>
              <w:left w:val="nil"/>
              <w:bottom w:val="single" w:color="000000" w:sz="4" w:space="0"/>
              <w:right w:val="single" w:color="000000" w:sz="4" w:space="0"/>
            </w:tcBorders>
            <w:shd w:val="clear" w:color="auto" w:fill="auto"/>
            <w:vAlign w:val="center"/>
          </w:tcPr>
          <w:p>
            <w:pPr>
              <w:rPr>
                <w:rFonts w:hint="eastAsia"/>
              </w:rPr>
            </w:pPr>
            <w:r>
              <w:rPr>
                <w:rFonts w:hint="eastAsia"/>
                <w:lang w:val="en-US" w:eastAsia="zh-CN"/>
              </w:rPr>
              <w:t>本年收入合计</w:t>
            </w:r>
          </w:p>
        </w:tc>
        <w:tc>
          <w:tcPr>
            <w:tcW w:w="1224" w:type="dxa"/>
            <w:vMerge w:val="restart"/>
            <w:tcBorders>
              <w:top w:val="single" w:color="000000" w:sz="4" w:space="0"/>
              <w:left w:val="nil"/>
              <w:bottom w:val="single" w:color="000000" w:sz="4" w:space="0"/>
              <w:right w:val="single" w:color="000000" w:sz="4" w:space="0"/>
            </w:tcBorders>
            <w:shd w:val="clear" w:color="auto" w:fill="auto"/>
            <w:vAlign w:val="center"/>
          </w:tcPr>
          <w:p>
            <w:pPr>
              <w:rPr>
                <w:rFonts w:hint="eastAsia"/>
              </w:rPr>
            </w:pPr>
            <w:r>
              <w:rPr>
                <w:rFonts w:hint="eastAsia"/>
                <w:lang w:val="en-US" w:eastAsia="zh-CN"/>
              </w:rPr>
              <w:t>财政拨款收入</w:t>
            </w:r>
          </w:p>
        </w:tc>
        <w:tc>
          <w:tcPr>
            <w:tcW w:w="719" w:type="dxa"/>
            <w:vMerge w:val="restart"/>
            <w:tcBorders>
              <w:top w:val="single" w:color="000000" w:sz="4" w:space="0"/>
              <w:left w:val="nil"/>
              <w:bottom w:val="single" w:color="000000" w:sz="4" w:space="0"/>
              <w:right w:val="single" w:color="000000" w:sz="4" w:space="0"/>
            </w:tcBorders>
            <w:shd w:val="clear" w:color="auto" w:fill="auto"/>
            <w:vAlign w:val="center"/>
          </w:tcPr>
          <w:p>
            <w:pPr>
              <w:rPr>
                <w:rFonts w:hint="eastAsia"/>
              </w:rPr>
            </w:pPr>
            <w:r>
              <w:rPr>
                <w:rFonts w:hint="eastAsia"/>
                <w:lang w:val="en-US" w:eastAsia="zh-CN"/>
              </w:rPr>
              <w:t>上级补助收入</w:t>
            </w:r>
          </w:p>
        </w:tc>
        <w:tc>
          <w:tcPr>
            <w:tcW w:w="805" w:type="dxa"/>
            <w:vMerge w:val="restart"/>
            <w:tcBorders>
              <w:top w:val="single" w:color="000000" w:sz="4" w:space="0"/>
              <w:left w:val="nil"/>
              <w:bottom w:val="single" w:color="000000" w:sz="4" w:space="0"/>
              <w:right w:val="single" w:color="000000" w:sz="4" w:space="0"/>
            </w:tcBorders>
            <w:shd w:val="clear" w:color="auto" w:fill="auto"/>
            <w:vAlign w:val="center"/>
          </w:tcPr>
          <w:p>
            <w:pPr>
              <w:rPr>
                <w:rFonts w:hint="eastAsia"/>
              </w:rPr>
            </w:pPr>
            <w:r>
              <w:rPr>
                <w:rFonts w:hint="eastAsia"/>
                <w:lang w:val="en-US" w:eastAsia="zh-CN"/>
              </w:rPr>
              <w:t>事业收入</w:t>
            </w:r>
          </w:p>
        </w:tc>
        <w:tc>
          <w:tcPr>
            <w:tcW w:w="793" w:type="dxa"/>
            <w:vMerge w:val="restart"/>
            <w:tcBorders>
              <w:top w:val="single" w:color="000000" w:sz="4" w:space="0"/>
              <w:left w:val="nil"/>
              <w:bottom w:val="single" w:color="000000" w:sz="4" w:space="0"/>
              <w:right w:val="single" w:color="000000" w:sz="4" w:space="0"/>
            </w:tcBorders>
            <w:shd w:val="clear" w:color="auto" w:fill="auto"/>
            <w:vAlign w:val="center"/>
          </w:tcPr>
          <w:p>
            <w:pPr>
              <w:rPr>
                <w:rFonts w:hint="eastAsia"/>
              </w:rPr>
            </w:pPr>
            <w:r>
              <w:rPr>
                <w:rFonts w:hint="eastAsia"/>
                <w:lang w:val="en-US" w:eastAsia="zh-CN"/>
              </w:rPr>
              <w:t>经营收入</w:t>
            </w:r>
          </w:p>
        </w:tc>
        <w:tc>
          <w:tcPr>
            <w:tcW w:w="781" w:type="dxa"/>
            <w:vMerge w:val="restart"/>
            <w:tcBorders>
              <w:top w:val="single" w:color="000000" w:sz="4" w:space="0"/>
              <w:left w:val="nil"/>
              <w:bottom w:val="single" w:color="000000" w:sz="4" w:space="0"/>
              <w:right w:val="single" w:color="000000" w:sz="4" w:space="0"/>
            </w:tcBorders>
            <w:shd w:val="clear" w:color="auto" w:fill="auto"/>
            <w:vAlign w:val="center"/>
          </w:tcPr>
          <w:p>
            <w:pPr>
              <w:rPr>
                <w:rFonts w:hint="eastAsia"/>
              </w:rPr>
            </w:pPr>
            <w:r>
              <w:rPr>
                <w:rFonts w:hint="eastAsia"/>
                <w:lang w:val="en-US" w:eastAsia="zh-CN"/>
              </w:rPr>
              <w:t>附属单位上缴收入</w:t>
            </w:r>
          </w:p>
        </w:tc>
        <w:tc>
          <w:tcPr>
            <w:tcW w:w="1449" w:type="dxa"/>
            <w:vMerge w:val="restart"/>
            <w:tcBorders>
              <w:top w:val="single" w:color="000000" w:sz="4" w:space="0"/>
              <w:left w:val="nil"/>
              <w:bottom w:val="single" w:color="000000" w:sz="4" w:space="0"/>
              <w:right w:val="single" w:color="000000" w:sz="4" w:space="0"/>
            </w:tcBorders>
            <w:shd w:val="clear" w:color="auto" w:fill="auto"/>
            <w:vAlign w:val="center"/>
          </w:tcPr>
          <w:p>
            <w:pPr>
              <w:rPr>
                <w:rFonts w:hint="eastAsia"/>
              </w:rPr>
            </w:pPr>
            <w:r>
              <w:rPr>
                <w:rFonts w:hint="eastAsia"/>
                <w:lang w:val="en-US" w:eastAsia="zh-CN"/>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jc w:val="center"/>
        </w:trPr>
        <w:tc>
          <w:tcPr>
            <w:tcW w:w="4722"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rPr>
                <w:rFonts w:hint="eastAsia"/>
              </w:rPr>
            </w:pPr>
            <w:r>
              <w:rPr>
                <w:rFonts w:hint="eastAsia"/>
                <w:lang w:val="en-US" w:eastAsia="zh-CN"/>
              </w:rPr>
              <w:t>功能分类科目编码</w:t>
            </w:r>
          </w:p>
        </w:tc>
        <w:tc>
          <w:tcPr>
            <w:tcW w:w="3500" w:type="dxa"/>
            <w:vMerge w:val="restart"/>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科目名称</w:t>
            </w:r>
          </w:p>
        </w:tc>
        <w:tc>
          <w:tcPr>
            <w:tcW w:w="122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122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719"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805"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793"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781"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1449"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29" w:hRule="atLeast"/>
          <w:jc w:val="center"/>
        </w:trPr>
        <w:tc>
          <w:tcPr>
            <w:tcW w:w="4722"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rPr>
                <w:rFonts w:hint="eastAsia"/>
              </w:rPr>
            </w:pPr>
          </w:p>
        </w:tc>
        <w:tc>
          <w:tcPr>
            <w:tcW w:w="3500" w:type="dxa"/>
            <w:vMerge w:val="continue"/>
            <w:tcBorders>
              <w:top w:val="nil"/>
              <w:left w:val="nil"/>
              <w:bottom w:val="single" w:color="000000" w:sz="4" w:space="0"/>
              <w:right w:val="single" w:color="000000" w:sz="4" w:space="0"/>
            </w:tcBorders>
            <w:shd w:val="clear" w:color="auto" w:fill="auto"/>
            <w:noWrap/>
            <w:vAlign w:val="center"/>
          </w:tcPr>
          <w:p>
            <w:pPr>
              <w:rPr>
                <w:rFonts w:hint="eastAsia"/>
              </w:rPr>
            </w:pPr>
          </w:p>
        </w:tc>
        <w:tc>
          <w:tcPr>
            <w:tcW w:w="122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122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719"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805"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793"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781"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1449"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jc w:val="center"/>
        </w:trPr>
        <w:tc>
          <w:tcPr>
            <w:tcW w:w="4722"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rPr>
                <w:rFonts w:hint="eastAsia"/>
              </w:rPr>
            </w:pPr>
          </w:p>
        </w:tc>
        <w:tc>
          <w:tcPr>
            <w:tcW w:w="3500" w:type="dxa"/>
            <w:vMerge w:val="continue"/>
            <w:tcBorders>
              <w:top w:val="nil"/>
              <w:left w:val="nil"/>
              <w:bottom w:val="single" w:color="000000" w:sz="4" w:space="0"/>
              <w:right w:val="single" w:color="000000" w:sz="4" w:space="0"/>
            </w:tcBorders>
            <w:shd w:val="clear" w:color="auto" w:fill="auto"/>
            <w:noWrap/>
            <w:vAlign w:val="center"/>
          </w:tcPr>
          <w:p>
            <w:pPr>
              <w:rPr>
                <w:rFonts w:hint="eastAsia"/>
              </w:rPr>
            </w:pPr>
          </w:p>
        </w:tc>
        <w:tc>
          <w:tcPr>
            <w:tcW w:w="122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1224"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719"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805"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793"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781"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c>
          <w:tcPr>
            <w:tcW w:w="1449" w:type="dxa"/>
            <w:vMerge w:val="continue"/>
            <w:tcBorders>
              <w:top w:val="single" w:color="000000" w:sz="4" w:space="0"/>
              <w:left w:val="nil"/>
              <w:bottom w:val="single" w:color="000000" w:sz="4" w:space="0"/>
              <w:right w:val="single" w:color="000000" w:sz="4" w:space="0"/>
            </w:tcBorders>
            <w:shd w:val="clear" w:color="auto" w:fill="auto"/>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8222" w:type="dxa"/>
            <w:gridSpan w:val="4"/>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栏次</w:t>
            </w:r>
          </w:p>
        </w:tc>
        <w:tc>
          <w:tcPr>
            <w:tcW w:w="1224" w:type="dxa"/>
            <w:tcBorders>
              <w:top w:val="nil"/>
              <w:left w:val="nil"/>
              <w:bottom w:val="single" w:color="000000" w:sz="4" w:space="0"/>
              <w:right w:val="single" w:color="000000" w:sz="4" w:space="0"/>
            </w:tcBorders>
            <w:shd w:val="clear" w:color="auto" w:fill="auto"/>
            <w:vAlign w:val="center"/>
          </w:tcPr>
          <w:p>
            <w:pPr>
              <w:jc w:val="center"/>
              <w:rPr>
                <w:rFonts w:hint="eastAsia"/>
              </w:rPr>
            </w:pPr>
            <w:r>
              <w:rPr>
                <w:rFonts w:hint="eastAsia"/>
                <w:lang w:val="en-US" w:eastAsia="zh-CN"/>
              </w:rPr>
              <w:t>1</w:t>
            </w:r>
          </w:p>
        </w:tc>
        <w:tc>
          <w:tcPr>
            <w:tcW w:w="1224" w:type="dxa"/>
            <w:tcBorders>
              <w:top w:val="nil"/>
              <w:left w:val="nil"/>
              <w:bottom w:val="single" w:color="000000" w:sz="4" w:space="0"/>
              <w:right w:val="single" w:color="000000" w:sz="4" w:space="0"/>
            </w:tcBorders>
            <w:shd w:val="clear" w:color="auto" w:fill="auto"/>
            <w:vAlign w:val="center"/>
          </w:tcPr>
          <w:p>
            <w:pPr>
              <w:jc w:val="center"/>
              <w:rPr>
                <w:rFonts w:hint="eastAsia"/>
              </w:rPr>
            </w:pPr>
            <w:r>
              <w:rPr>
                <w:rFonts w:hint="eastAsia"/>
                <w:lang w:val="en-US" w:eastAsia="zh-CN"/>
              </w:rPr>
              <w:t>2</w:t>
            </w:r>
          </w:p>
        </w:tc>
        <w:tc>
          <w:tcPr>
            <w:tcW w:w="719" w:type="dxa"/>
            <w:tcBorders>
              <w:top w:val="nil"/>
              <w:left w:val="nil"/>
              <w:bottom w:val="single" w:color="000000" w:sz="4" w:space="0"/>
              <w:right w:val="single" w:color="000000" w:sz="4" w:space="0"/>
            </w:tcBorders>
            <w:shd w:val="clear" w:color="auto" w:fill="auto"/>
            <w:vAlign w:val="center"/>
          </w:tcPr>
          <w:p>
            <w:pPr>
              <w:jc w:val="center"/>
              <w:rPr>
                <w:rFonts w:hint="eastAsia"/>
              </w:rPr>
            </w:pPr>
            <w:r>
              <w:rPr>
                <w:rFonts w:hint="eastAsia"/>
                <w:lang w:val="en-US" w:eastAsia="zh-CN"/>
              </w:rPr>
              <w:t>3</w:t>
            </w:r>
          </w:p>
        </w:tc>
        <w:tc>
          <w:tcPr>
            <w:tcW w:w="805" w:type="dxa"/>
            <w:tcBorders>
              <w:top w:val="nil"/>
              <w:left w:val="nil"/>
              <w:bottom w:val="single" w:color="000000" w:sz="4" w:space="0"/>
              <w:right w:val="single" w:color="000000" w:sz="4" w:space="0"/>
            </w:tcBorders>
            <w:shd w:val="clear" w:color="auto" w:fill="auto"/>
            <w:vAlign w:val="center"/>
          </w:tcPr>
          <w:p>
            <w:pPr>
              <w:jc w:val="center"/>
              <w:rPr>
                <w:rFonts w:hint="eastAsia"/>
              </w:rPr>
            </w:pPr>
            <w:r>
              <w:rPr>
                <w:rFonts w:hint="eastAsia"/>
                <w:lang w:val="en-US" w:eastAsia="zh-CN"/>
              </w:rPr>
              <w:t>4</w:t>
            </w:r>
          </w:p>
        </w:tc>
        <w:tc>
          <w:tcPr>
            <w:tcW w:w="793" w:type="dxa"/>
            <w:tcBorders>
              <w:top w:val="nil"/>
              <w:left w:val="nil"/>
              <w:bottom w:val="single" w:color="000000" w:sz="4" w:space="0"/>
              <w:right w:val="single" w:color="000000" w:sz="4" w:space="0"/>
            </w:tcBorders>
            <w:shd w:val="clear" w:color="auto" w:fill="auto"/>
            <w:vAlign w:val="center"/>
          </w:tcPr>
          <w:p>
            <w:pPr>
              <w:jc w:val="center"/>
              <w:rPr>
                <w:rFonts w:hint="eastAsia"/>
              </w:rPr>
            </w:pPr>
            <w:r>
              <w:rPr>
                <w:rFonts w:hint="eastAsia"/>
                <w:lang w:val="en-US" w:eastAsia="zh-CN"/>
              </w:rPr>
              <w:t>5</w:t>
            </w:r>
          </w:p>
        </w:tc>
        <w:tc>
          <w:tcPr>
            <w:tcW w:w="781" w:type="dxa"/>
            <w:tcBorders>
              <w:top w:val="nil"/>
              <w:left w:val="nil"/>
              <w:bottom w:val="single" w:color="000000" w:sz="4" w:space="0"/>
              <w:right w:val="single" w:color="000000" w:sz="4" w:space="0"/>
            </w:tcBorders>
            <w:shd w:val="clear" w:color="auto" w:fill="auto"/>
            <w:vAlign w:val="center"/>
          </w:tcPr>
          <w:p>
            <w:pPr>
              <w:jc w:val="center"/>
              <w:rPr>
                <w:rFonts w:hint="eastAsia"/>
              </w:rPr>
            </w:pPr>
            <w:r>
              <w:rPr>
                <w:rFonts w:hint="eastAsia"/>
                <w:lang w:val="en-US" w:eastAsia="zh-CN"/>
              </w:rPr>
              <w:t>6</w:t>
            </w:r>
          </w:p>
        </w:tc>
        <w:tc>
          <w:tcPr>
            <w:tcW w:w="1449" w:type="dxa"/>
            <w:tcBorders>
              <w:top w:val="nil"/>
              <w:left w:val="nil"/>
              <w:bottom w:val="single" w:color="000000" w:sz="4" w:space="0"/>
              <w:right w:val="single" w:color="000000" w:sz="4" w:space="0"/>
            </w:tcBorders>
            <w:shd w:val="clear" w:color="auto" w:fill="auto"/>
            <w:vAlign w:val="center"/>
          </w:tcPr>
          <w:p>
            <w:pPr>
              <w:jc w:val="center"/>
              <w:rPr>
                <w:rFonts w:hint="eastAsia"/>
              </w:rPr>
            </w:pPr>
            <w:r>
              <w:rPr>
                <w:rFonts w:hint="eastAsia"/>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8222" w:type="dxa"/>
            <w:gridSpan w:val="4"/>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合计</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299.63</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288.20</w:t>
            </w: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201</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一般公共服务支出</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262.76</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262.76</w:t>
            </w: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20114</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知识产权事务</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15.49</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15.49</w:t>
            </w: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2011409</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知识产权宏观管理</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15.49</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15.49</w:t>
            </w: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20138</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市场监督管理事务</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247.27</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247.27</w:t>
            </w: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2013801</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行政运行</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175.36</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175.36</w:t>
            </w: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2013802</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一般行政管理事务</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45.72</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45.72</w:t>
            </w: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2013816</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食品安全监管</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3.00</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3.00</w:t>
            </w: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2013899</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其他市场监督管理事务</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23.19</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23.19</w:t>
            </w: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208</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社会保障和就业支出</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17.89</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17.89</w:t>
            </w: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20805</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行政事业单位养老支出</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16.33</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16.33</w:t>
            </w: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2080505</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机关事业单位基本养老保险缴费支出</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16.33</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16.33</w:t>
            </w: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20811</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残疾人事业</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1.56</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1.56</w:t>
            </w: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2081199</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其他残疾人事业支出</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1.56</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1.56</w:t>
            </w: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210</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卫生健康支出</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7.55</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7.55</w:t>
            </w: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21011</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行政事业单位医疗</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7.55</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7.55</w:t>
            </w: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2101101</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行政单位医疗</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7.55</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7.55</w:t>
            </w: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229</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其他支出</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11.43</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22999</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其他支出</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11.43</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4722" w:type="dxa"/>
            <w:gridSpan w:val="3"/>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2299999</w:t>
            </w:r>
          </w:p>
        </w:tc>
        <w:tc>
          <w:tcPr>
            <w:tcW w:w="35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其他支出</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11.43</w:t>
            </w:r>
          </w:p>
        </w:tc>
        <w:tc>
          <w:tcPr>
            <w:tcW w:w="1224"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19"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05"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9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781"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449"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jc w:val="center"/>
        </w:trPr>
        <w:tc>
          <w:tcPr>
            <w:tcW w:w="15217" w:type="dxa"/>
            <w:gridSpan w:val="11"/>
            <w:tcBorders>
              <w:top w:val="nil"/>
              <w:left w:val="nil"/>
              <w:bottom w:val="nil"/>
              <w:right w:val="nil"/>
            </w:tcBorders>
            <w:shd w:val="clear" w:color="auto" w:fill="auto"/>
            <w:noWrap/>
            <w:vAlign w:val="center"/>
          </w:tcPr>
          <w:p>
            <w:pPr>
              <w:rPr>
                <w:rFonts w:hint="eastAsia"/>
              </w:rPr>
            </w:pPr>
            <w:r>
              <w:rPr>
                <w:rFonts w:hint="eastAsia"/>
                <w:lang w:val="en-US" w:eastAsia="zh-CN"/>
              </w:rPr>
              <w:t>注：本表反映部门本年度取得的各项收入情况。</w:t>
            </w:r>
          </w:p>
        </w:tc>
      </w:tr>
    </w:tbl>
    <w:p/>
    <w:p/>
    <w:p/>
    <w:tbl>
      <w:tblPr>
        <w:tblStyle w:val="9"/>
        <w:tblW w:w="1561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416"/>
        <w:gridCol w:w="222"/>
        <w:gridCol w:w="222"/>
        <w:gridCol w:w="3956"/>
        <w:gridCol w:w="1257"/>
        <w:gridCol w:w="1257"/>
        <w:gridCol w:w="1257"/>
        <w:gridCol w:w="749"/>
        <w:gridCol w:w="749"/>
        <w:gridCol w:w="15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5617" w:type="dxa"/>
            <w:gridSpan w:val="10"/>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方正小标宋_GBK" w:hAnsi="方正小标宋_GBK" w:eastAsia="方正小标宋_GBK" w:cs="方正小标宋_GBK"/>
                <w:i w:val="0"/>
                <w:iCs w:val="0"/>
                <w:color w:val="000000"/>
                <w:kern w:val="0"/>
                <w:sz w:val="36"/>
                <w:szCs w:val="36"/>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4416"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395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5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5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5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74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74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32"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4416"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部门：岳阳市市场监督管理局城陵矶新港区分局</w:t>
            </w: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3956"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5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5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57"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74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749"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532"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816"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25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25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25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749"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749"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532"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860"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3956" w:type="dxa"/>
            <w:vMerge w:val="restart"/>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25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5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5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4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4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53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860"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56" w:type="dxa"/>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5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5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5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4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4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53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860"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56" w:type="dxa"/>
            <w:vMerge w:val="continue"/>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5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5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5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4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49"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53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816" w:type="dxa"/>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2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25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4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4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816" w:type="dxa"/>
            <w:gridSpan w:val="4"/>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344.62</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242.50</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102.12</w:t>
            </w:r>
          </w:p>
        </w:tc>
        <w:tc>
          <w:tcPr>
            <w:tcW w:w="749"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307.75</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205.63</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102.12</w:t>
            </w: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20114</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知识产权事务</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23.86</w:t>
            </w:r>
          </w:p>
        </w:tc>
        <w:tc>
          <w:tcPr>
            <w:tcW w:w="1257"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23.86</w:t>
            </w: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2011405</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知识产权战略和规划</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8.37</w:t>
            </w:r>
          </w:p>
        </w:tc>
        <w:tc>
          <w:tcPr>
            <w:tcW w:w="1257"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8.37</w:t>
            </w: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2011409</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知识产权宏观管理</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15.49</w:t>
            </w:r>
          </w:p>
        </w:tc>
        <w:tc>
          <w:tcPr>
            <w:tcW w:w="1257"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15.49</w:t>
            </w: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20138</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市场监督管理事务</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283.89</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205.63</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78.26</w:t>
            </w: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2013801</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175.36</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175.36</w:t>
            </w:r>
          </w:p>
        </w:tc>
        <w:tc>
          <w:tcPr>
            <w:tcW w:w="1257"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2013802</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一般行政管理事务</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82.35</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30.27</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52.08</w:t>
            </w: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2013816</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食品安全监管</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1257"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2013899</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其他市场监督管理事务</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23.18</w:t>
            </w:r>
          </w:p>
        </w:tc>
        <w:tc>
          <w:tcPr>
            <w:tcW w:w="1257"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23.18</w:t>
            </w: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17.89</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17.89</w:t>
            </w:r>
          </w:p>
        </w:tc>
        <w:tc>
          <w:tcPr>
            <w:tcW w:w="1257"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16.33</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16.33</w:t>
            </w:r>
          </w:p>
        </w:tc>
        <w:tc>
          <w:tcPr>
            <w:tcW w:w="1257"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16.33</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16.33</w:t>
            </w:r>
          </w:p>
        </w:tc>
        <w:tc>
          <w:tcPr>
            <w:tcW w:w="1257"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20811</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残疾人事业</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1257"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2081199</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其他残疾人事业支出</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1257"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7.55</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7.55</w:t>
            </w:r>
          </w:p>
        </w:tc>
        <w:tc>
          <w:tcPr>
            <w:tcW w:w="1257"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7.55</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7.55</w:t>
            </w:r>
          </w:p>
        </w:tc>
        <w:tc>
          <w:tcPr>
            <w:tcW w:w="1257"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7.55</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7.55</w:t>
            </w:r>
          </w:p>
        </w:tc>
        <w:tc>
          <w:tcPr>
            <w:tcW w:w="1257"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11.43</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11.43</w:t>
            </w:r>
          </w:p>
        </w:tc>
        <w:tc>
          <w:tcPr>
            <w:tcW w:w="1257"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11.43</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11.43</w:t>
            </w:r>
          </w:p>
        </w:tc>
        <w:tc>
          <w:tcPr>
            <w:tcW w:w="1257"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3956"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11.43</w:t>
            </w:r>
          </w:p>
        </w:tc>
        <w:tc>
          <w:tcPr>
            <w:tcW w:w="1257"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11.43</w:t>
            </w:r>
          </w:p>
        </w:tc>
        <w:tc>
          <w:tcPr>
            <w:tcW w:w="1257"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49"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3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5617" w:type="dxa"/>
            <w:gridSpan w:val="10"/>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
    <w:p/>
    <w:p/>
    <w:p/>
    <w:tbl>
      <w:tblPr>
        <w:tblStyle w:val="9"/>
        <w:tblW w:w="1560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77"/>
        <w:gridCol w:w="556"/>
        <w:gridCol w:w="1322"/>
        <w:gridCol w:w="3698"/>
        <w:gridCol w:w="556"/>
        <w:gridCol w:w="822"/>
        <w:gridCol w:w="1305"/>
        <w:gridCol w:w="1069"/>
        <w:gridCol w:w="16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5600" w:type="dxa"/>
            <w:gridSpan w:val="9"/>
            <w:tcBorders>
              <w:top w:val="nil"/>
              <w:left w:val="nil"/>
              <w:bottom w:val="nil"/>
              <w:right w:val="nil"/>
            </w:tcBorders>
            <w:shd w:val="clear" w:color="auto" w:fill="auto"/>
            <w:noWrap/>
            <w:vAlign w:val="bottom"/>
          </w:tcPr>
          <w:p>
            <w:pPr>
              <w:jc w:val="center"/>
              <w:rPr>
                <w:rFonts w:hint="eastAsia"/>
              </w:rPr>
            </w:pPr>
            <w:r>
              <w:rPr>
                <w:rFonts w:hint="eastAsia" w:ascii="方正小标宋_GBK" w:hAnsi="方正小标宋_GBK" w:eastAsia="方正小标宋_GBK" w:cs="方正小标宋_GBK"/>
                <w:sz w:val="36"/>
                <w:szCs w:val="36"/>
                <w:lang w:val="en-US" w:eastAsia="zh-CN"/>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0" w:type="auto"/>
            <w:tcBorders>
              <w:top w:val="nil"/>
              <w:left w:val="nil"/>
              <w:bottom w:val="nil"/>
              <w:right w:val="nil"/>
            </w:tcBorders>
            <w:shd w:val="clear" w:color="auto" w:fill="auto"/>
            <w:noWrap/>
            <w:vAlign w:val="bottom"/>
          </w:tcPr>
          <w:p>
            <w:pPr>
              <w:rPr>
                <w:rFonts w:hint="eastAsia"/>
                <w:sz w:val="18"/>
                <w:szCs w:val="18"/>
              </w:rPr>
            </w:pPr>
          </w:p>
        </w:tc>
        <w:tc>
          <w:tcPr>
            <w:tcW w:w="0" w:type="auto"/>
            <w:tcBorders>
              <w:top w:val="nil"/>
              <w:left w:val="nil"/>
              <w:bottom w:val="nil"/>
              <w:right w:val="nil"/>
            </w:tcBorders>
            <w:shd w:val="clear" w:color="auto" w:fill="auto"/>
            <w:noWrap/>
            <w:vAlign w:val="bottom"/>
          </w:tcPr>
          <w:p>
            <w:pPr>
              <w:rPr>
                <w:rFonts w:hint="default"/>
                <w:sz w:val="18"/>
                <w:szCs w:val="18"/>
              </w:rPr>
            </w:pPr>
          </w:p>
        </w:tc>
        <w:tc>
          <w:tcPr>
            <w:tcW w:w="0" w:type="auto"/>
            <w:tcBorders>
              <w:top w:val="nil"/>
              <w:left w:val="nil"/>
              <w:bottom w:val="nil"/>
              <w:right w:val="nil"/>
            </w:tcBorders>
            <w:shd w:val="clear" w:color="auto" w:fill="auto"/>
            <w:noWrap/>
            <w:vAlign w:val="bottom"/>
          </w:tcPr>
          <w:p>
            <w:pPr>
              <w:rPr>
                <w:rFonts w:hint="default"/>
                <w:sz w:val="18"/>
                <w:szCs w:val="18"/>
              </w:rPr>
            </w:pPr>
          </w:p>
        </w:tc>
        <w:tc>
          <w:tcPr>
            <w:tcW w:w="0" w:type="auto"/>
            <w:tcBorders>
              <w:top w:val="nil"/>
              <w:left w:val="nil"/>
              <w:bottom w:val="nil"/>
              <w:right w:val="nil"/>
            </w:tcBorders>
            <w:shd w:val="clear" w:color="auto" w:fill="auto"/>
            <w:noWrap/>
            <w:vAlign w:val="bottom"/>
          </w:tcPr>
          <w:p>
            <w:pPr>
              <w:rPr>
                <w:rFonts w:hint="default"/>
                <w:sz w:val="18"/>
                <w:szCs w:val="18"/>
              </w:rPr>
            </w:pPr>
          </w:p>
        </w:tc>
        <w:tc>
          <w:tcPr>
            <w:tcW w:w="0" w:type="auto"/>
            <w:tcBorders>
              <w:top w:val="nil"/>
              <w:left w:val="nil"/>
              <w:bottom w:val="nil"/>
              <w:right w:val="nil"/>
            </w:tcBorders>
            <w:shd w:val="clear" w:color="auto" w:fill="auto"/>
            <w:noWrap/>
            <w:vAlign w:val="bottom"/>
          </w:tcPr>
          <w:p>
            <w:pPr>
              <w:rPr>
                <w:rFonts w:hint="default"/>
                <w:sz w:val="18"/>
                <w:szCs w:val="18"/>
              </w:rPr>
            </w:pPr>
          </w:p>
        </w:tc>
        <w:tc>
          <w:tcPr>
            <w:tcW w:w="0" w:type="auto"/>
            <w:tcBorders>
              <w:top w:val="nil"/>
              <w:left w:val="nil"/>
              <w:bottom w:val="nil"/>
              <w:right w:val="nil"/>
            </w:tcBorders>
            <w:shd w:val="clear" w:color="auto" w:fill="auto"/>
            <w:noWrap/>
            <w:vAlign w:val="bottom"/>
          </w:tcPr>
          <w:p>
            <w:pPr>
              <w:rPr>
                <w:rFonts w:hint="default"/>
                <w:sz w:val="18"/>
                <w:szCs w:val="18"/>
              </w:rPr>
            </w:pPr>
          </w:p>
        </w:tc>
        <w:tc>
          <w:tcPr>
            <w:tcW w:w="0" w:type="auto"/>
            <w:tcBorders>
              <w:top w:val="nil"/>
              <w:left w:val="nil"/>
              <w:bottom w:val="nil"/>
              <w:right w:val="nil"/>
            </w:tcBorders>
            <w:shd w:val="clear" w:color="auto" w:fill="auto"/>
            <w:noWrap/>
            <w:vAlign w:val="bottom"/>
          </w:tcPr>
          <w:p>
            <w:pPr>
              <w:rPr>
                <w:rFonts w:hint="default"/>
                <w:sz w:val="18"/>
                <w:szCs w:val="18"/>
              </w:rPr>
            </w:pPr>
          </w:p>
        </w:tc>
        <w:tc>
          <w:tcPr>
            <w:tcW w:w="0" w:type="auto"/>
            <w:tcBorders>
              <w:top w:val="nil"/>
              <w:left w:val="nil"/>
              <w:bottom w:val="nil"/>
              <w:right w:val="nil"/>
            </w:tcBorders>
            <w:shd w:val="clear" w:color="auto" w:fill="auto"/>
            <w:noWrap/>
            <w:vAlign w:val="bottom"/>
          </w:tcPr>
          <w:p>
            <w:pPr>
              <w:rPr>
                <w:rFonts w:hint="default"/>
                <w:sz w:val="18"/>
                <w:szCs w:val="18"/>
              </w:rPr>
            </w:pPr>
          </w:p>
        </w:tc>
        <w:tc>
          <w:tcPr>
            <w:tcW w:w="0" w:type="auto"/>
            <w:tcBorders>
              <w:top w:val="nil"/>
              <w:left w:val="nil"/>
              <w:bottom w:val="nil"/>
              <w:right w:val="nil"/>
            </w:tcBorders>
            <w:shd w:val="clear" w:color="auto" w:fill="auto"/>
            <w:noWrap/>
            <w:vAlign w:val="bottom"/>
          </w:tcPr>
          <w:p>
            <w:pPr>
              <w:rPr>
                <w:rFonts w:hint="eastAsia"/>
                <w:sz w:val="18"/>
                <w:szCs w:val="18"/>
              </w:rPr>
            </w:pPr>
            <w:r>
              <w:rPr>
                <w:rFonts w:hint="eastAsia"/>
                <w:sz w:val="18"/>
                <w:szCs w:val="18"/>
                <w:lang w:val="en-US" w:eastAsia="zh-CN"/>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rPr>
                <w:rFonts w:hint="eastAsia"/>
                <w:sz w:val="18"/>
                <w:szCs w:val="18"/>
              </w:rPr>
            </w:pPr>
            <w:r>
              <w:rPr>
                <w:rFonts w:hint="eastAsia"/>
                <w:sz w:val="18"/>
                <w:szCs w:val="18"/>
                <w:lang w:val="en-US" w:eastAsia="zh-CN"/>
              </w:rPr>
              <w:t>部门：岳阳市市场监督管理局城陵矶新港区分局</w:t>
            </w:r>
          </w:p>
        </w:tc>
        <w:tc>
          <w:tcPr>
            <w:tcW w:w="0" w:type="auto"/>
            <w:tcBorders>
              <w:top w:val="nil"/>
              <w:left w:val="nil"/>
              <w:bottom w:val="nil"/>
              <w:right w:val="nil"/>
            </w:tcBorders>
            <w:shd w:val="clear" w:color="auto" w:fill="auto"/>
            <w:noWrap/>
            <w:vAlign w:val="bottom"/>
          </w:tcPr>
          <w:p>
            <w:pPr>
              <w:rPr>
                <w:rFonts w:hint="default"/>
                <w:sz w:val="18"/>
                <w:szCs w:val="18"/>
              </w:rPr>
            </w:pPr>
          </w:p>
        </w:tc>
        <w:tc>
          <w:tcPr>
            <w:tcW w:w="0" w:type="auto"/>
            <w:tcBorders>
              <w:top w:val="nil"/>
              <w:left w:val="nil"/>
              <w:bottom w:val="nil"/>
              <w:right w:val="nil"/>
            </w:tcBorders>
            <w:shd w:val="clear" w:color="auto" w:fill="auto"/>
            <w:noWrap/>
            <w:vAlign w:val="bottom"/>
          </w:tcPr>
          <w:p>
            <w:pPr>
              <w:rPr>
                <w:rFonts w:hint="default"/>
                <w:sz w:val="18"/>
                <w:szCs w:val="18"/>
              </w:rPr>
            </w:pPr>
          </w:p>
        </w:tc>
        <w:tc>
          <w:tcPr>
            <w:tcW w:w="0" w:type="auto"/>
            <w:tcBorders>
              <w:top w:val="nil"/>
              <w:left w:val="nil"/>
              <w:bottom w:val="nil"/>
              <w:right w:val="nil"/>
            </w:tcBorders>
            <w:shd w:val="clear" w:color="auto" w:fill="auto"/>
            <w:noWrap/>
            <w:vAlign w:val="bottom"/>
          </w:tcPr>
          <w:p>
            <w:pPr>
              <w:rPr>
                <w:rFonts w:hint="default"/>
                <w:sz w:val="18"/>
                <w:szCs w:val="18"/>
              </w:rPr>
            </w:pPr>
          </w:p>
        </w:tc>
        <w:tc>
          <w:tcPr>
            <w:tcW w:w="0" w:type="auto"/>
            <w:tcBorders>
              <w:top w:val="nil"/>
              <w:left w:val="nil"/>
              <w:bottom w:val="nil"/>
              <w:right w:val="nil"/>
            </w:tcBorders>
            <w:shd w:val="clear" w:color="auto" w:fill="auto"/>
            <w:noWrap/>
            <w:vAlign w:val="bottom"/>
          </w:tcPr>
          <w:p>
            <w:pPr>
              <w:rPr>
                <w:rFonts w:hint="default"/>
                <w:sz w:val="18"/>
                <w:szCs w:val="18"/>
              </w:rPr>
            </w:pPr>
          </w:p>
        </w:tc>
        <w:tc>
          <w:tcPr>
            <w:tcW w:w="0" w:type="auto"/>
            <w:tcBorders>
              <w:top w:val="nil"/>
              <w:left w:val="nil"/>
              <w:bottom w:val="nil"/>
              <w:right w:val="nil"/>
            </w:tcBorders>
            <w:shd w:val="clear" w:color="auto" w:fill="auto"/>
            <w:noWrap/>
            <w:vAlign w:val="bottom"/>
          </w:tcPr>
          <w:p>
            <w:pPr>
              <w:rPr>
                <w:rFonts w:hint="default"/>
                <w:sz w:val="18"/>
                <w:szCs w:val="18"/>
              </w:rPr>
            </w:pPr>
          </w:p>
        </w:tc>
        <w:tc>
          <w:tcPr>
            <w:tcW w:w="0" w:type="auto"/>
            <w:tcBorders>
              <w:top w:val="nil"/>
              <w:left w:val="nil"/>
              <w:bottom w:val="nil"/>
              <w:right w:val="nil"/>
            </w:tcBorders>
            <w:shd w:val="clear" w:color="auto" w:fill="auto"/>
            <w:noWrap/>
            <w:vAlign w:val="bottom"/>
          </w:tcPr>
          <w:p>
            <w:pPr>
              <w:rPr>
                <w:rFonts w:hint="default"/>
                <w:sz w:val="18"/>
                <w:szCs w:val="18"/>
              </w:rPr>
            </w:pPr>
          </w:p>
        </w:tc>
        <w:tc>
          <w:tcPr>
            <w:tcW w:w="0" w:type="auto"/>
            <w:tcBorders>
              <w:top w:val="nil"/>
              <w:left w:val="nil"/>
              <w:bottom w:val="nil"/>
              <w:right w:val="nil"/>
            </w:tcBorders>
            <w:shd w:val="clear" w:color="auto" w:fill="auto"/>
            <w:noWrap/>
            <w:vAlign w:val="bottom"/>
          </w:tcPr>
          <w:p>
            <w:pPr>
              <w:rPr>
                <w:rFonts w:hint="default"/>
                <w:sz w:val="18"/>
                <w:szCs w:val="18"/>
              </w:rPr>
            </w:pPr>
          </w:p>
        </w:tc>
        <w:tc>
          <w:tcPr>
            <w:tcW w:w="0" w:type="auto"/>
            <w:tcBorders>
              <w:top w:val="nil"/>
              <w:left w:val="nil"/>
              <w:bottom w:val="nil"/>
              <w:right w:val="nil"/>
            </w:tcBorders>
            <w:shd w:val="clear" w:color="auto" w:fill="auto"/>
            <w:noWrap/>
            <w:vAlign w:val="bottom"/>
          </w:tcPr>
          <w:p>
            <w:pPr>
              <w:rPr>
                <w:rFonts w:hint="eastAsia"/>
                <w:sz w:val="18"/>
                <w:szCs w:val="18"/>
              </w:rPr>
            </w:pPr>
            <w:r>
              <w:rPr>
                <w:rFonts w:hint="eastAsia"/>
                <w:sz w:val="18"/>
                <w:szCs w:val="18"/>
                <w:lang w:val="en-US" w:eastAsia="zh-CN"/>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收     入</w:t>
            </w:r>
          </w:p>
        </w:tc>
        <w:tc>
          <w:tcPr>
            <w:tcW w:w="0" w:type="auto"/>
            <w:gridSpan w:val="6"/>
            <w:tcBorders>
              <w:top w:val="single" w:color="000000" w:sz="4" w:space="0"/>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exact"/>
        </w:trPr>
        <w:tc>
          <w:tcPr>
            <w:tcW w:w="3135" w:type="dxa"/>
            <w:vMerge w:val="restart"/>
            <w:tcBorders>
              <w:top w:val="nil"/>
              <w:left w:val="single" w:color="000000" w:sz="4" w:space="0"/>
              <w:bottom w:val="single" w:color="000000" w:sz="4" w:space="0"/>
              <w:right w:val="single" w:color="000000" w:sz="4" w:space="0"/>
            </w:tcBorders>
            <w:shd w:val="clear" w:color="auto" w:fill="auto"/>
            <w:vAlign w:val="center"/>
          </w:tcPr>
          <w:p>
            <w:pPr>
              <w:rPr>
                <w:rFonts w:hint="eastAsia"/>
                <w:sz w:val="18"/>
                <w:szCs w:val="18"/>
              </w:rPr>
            </w:pPr>
            <w:r>
              <w:rPr>
                <w:rFonts w:hint="eastAsia"/>
                <w:sz w:val="18"/>
                <w:szCs w:val="18"/>
                <w:lang w:val="en-US" w:eastAsia="zh-CN"/>
              </w:rPr>
              <w:t>项目</w:t>
            </w:r>
          </w:p>
        </w:tc>
        <w:tc>
          <w:tcPr>
            <w:tcW w:w="570" w:type="dxa"/>
            <w:vMerge w:val="restart"/>
            <w:tcBorders>
              <w:top w:val="nil"/>
              <w:left w:val="nil"/>
              <w:bottom w:val="single" w:color="000000" w:sz="4" w:space="0"/>
              <w:right w:val="single" w:color="000000" w:sz="4" w:space="0"/>
            </w:tcBorders>
            <w:shd w:val="clear" w:color="auto" w:fill="auto"/>
            <w:vAlign w:val="center"/>
          </w:tcPr>
          <w:p>
            <w:pPr>
              <w:rPr>
                <w:rFonts w:hint="eastAsia"/>
                <w:sz w:val="18"/>
                <w:szCs w:val="18"/>
              </w:rPr>
            </w:pPr>
            <w:r>
              <w:rPr>
                <w:rFonts w:hint="eastAsia"/>
                <w:sz w:val="18"/>
                <w:szCs w:val="18"/>
                <w:lang w:val="en-US" w:eastAsia="zh-CN"/>
              </w:rPr>
              <w:t>行次</w:t>
            </w:r>
          </w:p>
        </w:tc>
        <w:tc>
          <w:tcPr>
            <w:tcW w:w="1590" w:type="dxa"/>
            <w:vMerge w:val="restart"/>
            <w:tcBorders>
              <w:top w:val="nil"/>
              <w:left w:val="nil"/>
              <w:bottom w:val="single" w:color="000000" w:sz="4" w:space="0"/>
              <w:right w:val="single" w:color="000000" w:sz="4" w:space="0"/>
            </w:tcBorders>
            <w:shd w:val="clear" w:color="auto" w:fill="auto"/>
            <w:vAlign w:val="center"/>
          </w:tcPr>
          <w:p>
            <w:pPr>
              <w:rPr>
                <w:rFonts w:hint="eastAsia"/>
                <w:sz w:val="18"/>
                <w:szCs w:val="18"/>
              </w:rPr>
            </w:pPr>
            <w:r>
              <w:rPr>
                <w:rFonts w:hint="eastAsia"/>
                <w:sz w:val="18"/>
                <w:szCs w:val="18"/>
                <w:lang w:val="en-US" w:eastAsia="zh-CN"/>
              </w:rPr>
              <w:t>金额</w:t>
            </w:r>
          </w:p>
        </w:tc>
        <w:tc>
          <w:tcPr>
            <w:tcW w:w="3540" w:type="dxa"/>
            <w:vMerge w:val="restart"/>
            <w:tcBorders>
              <w:top w:val="nil"/>
              <w:left w:val="nil"/>
              <w:bottom w:val="single" w:color="000000" w:sz="4" w:space="0"/>
              <w:right w:val="single" w:color="000000" w:sz="4" w:space="0"/>
            </w:tcBorders>
            <w:shd w:val="clear" w:color="auto" w:fill="auto"/>
            <w:vAlign w:val="center"/>
          </w:tcPr>
          <w:p>
            <w:pPr>
              <w:rPr>
                <w:rFonts w:hint="eastAsia"/>
                <w:sz w:val="18"/>
                <w:szCs w:val="18"/>
              </w:rPr>
            </w:pPr>
            <w:r>
              <w:rPr>
                <w:rFonts w:hint="eastAsia"/>
                <w:sz w:val="18"/>
                <w:szCs w:val="18"/>
                <w:lang w:val="en-US" w:eastAsia="zh-CN"/>
              </w:rPr>
              <w:t>项目</w:t>
            </w:r>
          </w:p>
        </w:tc>
        <w:tc>
          <w:tcPr>
            <w:tcW w:w="570" w:type="dxa"/>
            <w:vMerge w:val="restart"/>
            <w:tcBorders>
              <w:top w:val="nil"/>
              <w:left w:val="nil"/>
              <w:bottom w:val="single" w:color="000000" w:sz="4" w:space="0"/>
              <w:right w:val="single" w:color="000000" w:sz="4" w:space="0"/>
            </w:tcBorders>
            <w:shd w:val="clear" w:color="auto" w:fill="auto"/>
            <w:vAlign w:val="center"/>
          </w:tcPr>
          <w:p>
            <w:pPr>
              <w:rPr>
                <w:rFonts w:hint="eastAsia"/>
                <w:sz w:val="18"/>
                <w:szCs w:val="18"/>
              </w:rPr>
            </w:pPr>
            <w:r>
              <w:rPr>
                <w:rFonts w:hint="eastAsia"/>
                <w:sz w:val="18"/>
                <w:szCs w:val="18"/>
                <w:lang w:val="en-US" w:eastAsia="zh-CN"/>
              </w:rPr>
              <w:t>行次</w:t>
            </w:r>
          </w:p>
        </w:tc>
        <w:tc>
          <w:tcPr>
            <w:tcW w:w="0" w:type="auto"/>
            <w:vMerge w:val="restart"/>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合计</w:t>
            </w:r>
          </w:p>
        </w:tc>
        <w:tc>
          <w:tcPr>
            <w:tcW w:w="1560" w:type="dxa"/>
            <w:vMerge w:val="restart"/>
            <w:tcBorders>
              <w:top w:val="nil"/>
              <w:left w:val="nil"/>
              <w:bottom w:val="single" w:color="000000" w:sz="4" w:space="0"/>
              <w:right w:val="single" w:color="000000" w:sz="4" w:space="0"/>
            </w:tcBorders>
            <w:shd w:val="clear" w:color="auto" w:fill="auto"/>
            <w:vAlign w:val="center"/>
          </w:tcPr>
          <w:p>
            <w:pPr>
              <w:rPr>
                <w:rFonts w:hint="eastAsia"/>
                <w:sz w:val="18"/>
                <w:szCs w:val="18"/>
              </w:rPr>
            </w:pPr>
            <w:r>
              <w:rPr>
                <w:rFonts w:hint="eastAsia"/>
                <w:sz w:val="18"/>
                <w:szCs w:val="18"/>
                <w:lang w:val="en-US" w:eastAsia="zh-CN"/>
              </w:rPr>
              <w:t>一般公共预算财政拨款</w:t>
            </w:r>
          </w:p>
        </w:tc>
        <w:tc>
          <w:tcPr>
            <w:tcW w:w="1470" w:type="dxa"/>
            <w:vMerge w:val="restart"/>
            <w:tcBorders>
              <w:top w:val="nil"/>
              <w:left w:val="nil"/>
              <w:bottom w:val="single" w:color="000000" w:sz="4" w:space="0"/>
              <w:right w:val="single" w:color="000000" w:sz="4" w:space="0"/>
            </w:tcBorders>
            <w:shd w:val="clear" w:color="auto" w:fill="auto"/>
            <w:vAlign w:val="center"/>
          </w:tcPr>
          <w:p>
            <w:pPr>
              <w:rPr>
                <w:rFonts w:hint="eastAsia"/>
                <w:sz w:val="18"/>
                <w:szCs w:val="18"/>
              </w:rPr>
            </w:pPr>
            <w:r>
              <w:rPr>
                <w:rFonts w:hint="eastAsia"/>
                <w:sz w:val="18"/>
                <w:szCs w:val="18"/>
                <w:lang w:val="en-US" w:eastAsia="zh-CN"/>
              </w:rPr>
              <w:t>政府性基金预算财政拨款</w:t>
            </w:r>
          </w:p>
        </w:tc>
        <w:tc>
          <w:tcPr>
            <w:tcW w:w="1485" w:type="dxa"/>
            <w:vMerge w:val="restart"/>
            <w:tcBorders>
              <w:top w:val="nil"/>
              <w:left w:val="nil"/>
              <w:bottom w:val="single" w:color="000000" w:sz="4" w:space="0"/>
              <w:right w:val="single" w:color="000000" w:sz="4" w:space="0"/>
            </w:tcBorders>
            <w:shd w:val="clear" w:color="auto" w:fill="auto"/>
            <w:vAlign w:val="center"/>
          </w:tcPr>
          <w:p>
            <w:pPr>
              <w:rPr>
                <w:rFonts w:hint="eastAsia"/>
                <w:sz w:val="18"/>
                <w:szCs w:val="18"/>
              </w:rPr>
            </w:pPr>
            <w:r>
              <w:rPr>
                <w:rFonts w:hint="eastAsia"/>
                <w:sz w:val="18"/>
                <w:szCs w:val="18"/>
                <w:lang w:val="en-US" w:eastAsia="zh-CN"/>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exact"/>
        </w:trPr>
        <w:tc>
          <w:tcPr>
            <w:tcW w:w="3135" w:type="dxa"/>
            <w:vMerge w:val="continue"/>
            <w:tcBorders>
              <w:top w:val="nil"/>
              <w:left w:val="single" w:color="000000" w:sz="4" w:space="0"/>
              <w:bottom w:val="single" w:color="000000" w:sz="4" w:space="0"/>
              <w:right w:val="single" w:color="000000" w:sz="4" w:space="0"/>
            </w:tcBorders>
            <w:shd w:val="clear" w:color="auto" w:fill="auto"/>
            <w:vAlign w:val="center"/>
          </w:tcPr>
          <w:p>
            <w:pPr>
              <w:rPr>
                <w:rFonts w:hint="eastAsia"/>
                <w:sz w:val="18"/>
                <w:szCs w:val="18"/>
              </w:rPr>
            </w:pPr>
          </w:p>
        </w:tc>
        <w:tc>
          <w:tcPr>
            <w:tcW w:w="570" w:type="dxa"/>
            <w:vMerge w:val="continue"/>
            <w:tcBorders>
              <w:top w:val="nil"/>
              <w:left w:val="nil"/>
              <w:bottom w:val="single" w:color="000000" w:sz="4" w:space="0"/>
              <w:right w:val="single" w:color="000000" w:sz="4" w:space="0"/>
            </w:tcBorders>
            <w:shd w:val="clear" w:color="auto" w:fill="auto"/>
            <w:vAlign w:val="center"/>
          </w:tcPr>
          <w:p>
            <w:pPr>
              <w:rPr>
                <w:rFonts w:hint="eastAsia"/>
                <w:sz w:val="18"/>
                <w:szCs w:val="18"/>
              </w:rPr>
            </w:pPr>
          </w:p>
        </w:tc>
        <w:tc>
          <w:tcPr>
            <w:tcW w:w="1590" w:type="dxa"/>
            <w:vMerge w:val="continue"/>
            <w:tcBorders>
              <w:top w:val="nil"/>
              <w:left w:val="nil"/>
              <w:bottom w:val="single" w:color="000000" w:sz="4" w:space="0"/>
              <w:right w:val="single" w:color="000000" w:sz="4" w:space="0"/>
            </w:tcBorders>
            <w:shd w:val="clear" w:color="auto" w:fill="auto"/>
            <w:vAlign w:val="center"/>
          </w:tcPr>
          <w:p>
            <w:pPr>
              <w:rPr>
                <w:rFonts w:hint="eastAsia"/>
                <w:sz w:val="18"/>
                <w:szCs w:val="18"/>
              </w:rPr>
            </w:pPr>
          </w:p>
        </w:tc>
        <w:tc>
          <w:tcPr>
            <w:tcW w:w="3540" w:type="dxa"/>
            <w:vMerge w:val="continue"/>
            <w:tcBorders>
              <w:top w:val="nil"/>
              <w:left w:val="nil"/>
              <w:bottom w:val="single" w:color="000000" w:sz="4" w:space="0"/>
              <w:right w:val="single" w:color="000000" w:sz="4" w:space="0"/>
            </w:tcBorders>
            <w:shd w:val="clear" w:color="auto" w:fill="auto"/>
            <w:vAlign w:val="center"/>
          </w:tcPr>
          <w:p>
            <w:pPr>
              <w:rPr>
                <w:rFonts w:hint="eastAsia"/>
                <w:sz w:val="18"/>
                <w:szCs w:val="18"/>
              </w:rPr>
            </w:pPr>
          </w:p>
        </w:tc>
        <w:tc>
          <w:tcPr>
            <w:tcW w:w="570" w:type="dxa"/>
            <w:vMerge w:val="continue"/>
            <w:tcBorders>
              <w:top w:val="nil"/>
              <w:left w:val="nil"/>
              <w:bottom w:val="single" w:color="000000" w:sz="4" w:space="0"/>
              <w:right w:val="single" w:color="000000" w:sz="4" w:space="0"/>
            </w:tcBorders>
            <w:shd w:val="clear" w:color="auto" w:fill="auto"/>
            <w:vAlign w:val="center"/>
          </w:tcPr>
          <w:p>
            <w:pPr>
              <w:rPr>
                <w:rFonts w:hint="eastAsia"/>
                <w:sz w:val="18"/>
                <w:szCs w:val="18"/>
              </w:rPr>
            </w:pPr>
          </w:p>
        </w:tc>
        <w:tc>
          <w:tcPr>
            <w:tcW w:w="0" w:type="auto"/>
            <w:vMerge w:val="continue"/>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1560" w:type="dxa"/>
            <w:vMerge w:val="continue"/>
            <w:tcBorders>
              <w:top w:val="nil"/>
              <w:left w:val="nil"/>
              <w:bottom w:val="single" w:color="000000" w:sz="4" w:space="0"/>
              <w:right w:val="single" w:color="000000" w:sz="4" w:space="0"/>
            </w:tcBorders>
            <w:shd w:val="clear" w:color="auto" w:fill="auto"/>
            <w:vAlign w:val="center"/>
          </w:tcPr>
          <w:p>
            <w:pPr>
              <w:rPr>
                <w:rFonts w:hint="eastAsia"/>
                <w:sz w:val="18"/>
                <w:szCs w:val="18"/>
              </w:rPr>
            </w:pPr>
          </w:p>
        </w:tc>
        <w:tc>
          <w:tcPr>
            <w:tcW w:w="1470" w:type="dxa"/>
            <w:vMerge w:val="continue"/>
            <w:tcBorders>
              <w:top w:val="nil"/>
              <w:left w:val="nil"/>
              <w:bottom w:val="single" w:color="000000" w:sz="4" w:space="0"/>
              <w:right w:val="single" w:color="000000" w:sz="4" w:space="0"/>
            </w:tcBorders>
            <w:shd w:val="clear" w:color="auto" w:fill="auto"/>
            <w:vAlign w:val="center"/>
          </w:tcPr>
          <w:p>
            <w:pPr>
              <w:rPr>
                <w:rFonts w:hint="eastAsia"/>
                <w:sz w:val="18"/>
                <w:szCs w:val="18"/>
              </w:rPr>
            </w:pPr>
          </w:p>
        </w:tc>
        <w:tc>
          <w:tcPr>
            <w:tcW w:w="1485" w:type="dxa"/>
            <w:vMerge w:val="continue"/>
            <w:tcBorders>
              <w:top w:val="nil"/>
              <w:left w:val="nil"/>
              <w:bottom w:val="single" w:color="000000" w:sz="4" w:space="0"/>
              <w:right w:val="single" w:color="000000" w:sz="4" w:space="0"/>
            </w:tcBorders>
            <w:shd w:val="clear" w:color="auto" w:fill="auto"/>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栏次</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1</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栏次</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2</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3</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4</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一、一般公共预算财政拨款</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1</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r>
              <w:rPr>
                <w:rFonts w:hint="eastAsia"/>
                <w:sz w:val="18"/>
                <w:szCs w:val="18"/>
                <w:lang w:val="en-US" w:eastAsia="zh-CN"/>
              </w:rPr>
              <w:t>288.20</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一、一般公共服务支出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33</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r>
              <w:rPr>
                <w:rFonts w:hint="eastAsia"/>
                <w:sz w:val="18"/>
                <w:szCs w:val="18"/>
                <w:lang w:val="en-US" w:eastAsia="zh-CN"/>
              </w:rPr>
              <w:t>307.75</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r>
              <w:rPr>
                <w:rFonts w:hint="eastAsia"/>
                <w:sz w:val="18"/>
                <w:szCs w:val="18"/>
                <w:lang w:val="en-US" w:eastAsia="zh-CN"/>
              </w:rPr>
              <w:t>307.75</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二、政府性基金预算财政拨款</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2</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二、外交支出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34</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三、国有资本经营财政拨款</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3</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三、国防支出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35</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4</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四、公共安全支出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36</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5</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五、教育支出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37</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6</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六、科学技术支出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38</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7</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七、文化旅游体育与传媒支出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39</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8</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八、社会保障和就业支出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40</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r>
              <w:rPr>
                <w:rFonts w:hint="eastAsia"/>
                <w:sz w:val="18"/>
                <w:szCs w:val="18"/>
                <w:lang w:val="en-US" w:eastAsia="zh-CN"/>
              </w:rPr>
              <w:t>17.89</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r>
              <w:rPr>
                <w:rFonts w:hint="eastAsia"/>
                <w:sz w:val="18"/>
                <w:szCs w:val="18"/>
                <w:lang w:val="en-US" w:eastAsia="zh-CN"/>
              </w:rPr>
              <w:t>17.89</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9</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九、卫生健康支出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41</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r>
              <w:rPr>
                <w:rFonts w:hint="eastAsia"/>
                <w:sz w:val="18"/>
                <w:szCs w:val="18"/>
                <w:lang w:val="en-US" w:eastAsia="zh-CN"/>
              </w:rPr>
              <w:t>7.55</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r>
              <w:rPr>
                <w:rFonts w:hint="eastAsia"/>
                <w:sz w:val="18"/>
                <w:szCs w:val="18"/>
                <w:lang w:val="en-US" w:eastAsia="zh-CN"/>
              </w:rPr>
              <w:t>7.55</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10</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十、节能环保支出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42</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11</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十一、城乡社区支出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43</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12</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十二、农林水支出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44</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13</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十三、交通运输支出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45</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14</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十四、资源勘探工业信息等支出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46</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15</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十五、商业服务业等支出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47</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16</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十六、金融支出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48</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17</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十七、援助其他地区支出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49</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18</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十八、自然资源海洋气象等支出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50</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19</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十九、住房保障支出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51</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20</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二十、粮油物资储备支出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52</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21</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二十一、国有资本经营预算支出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53</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22</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二十二、灾害防治及应急管理支出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54</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23</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二十三、其他支出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55</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24</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二十四、债务还本支出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56</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25</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二十五、债务付息支出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57</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26</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二十六、抗疫特别国债安排的支出</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58</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本年收入合计</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27</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r>
              <w:rPr>
                <w:rFonts w:hint="eastAsia"/>
                <w:sz w:val="18"/>
                <w:szCs w:val="18"/>
                <w:lang w:val="en-US" w:eastAsia="zh-CN"/>
              </w:rPr>
              <w:t>288.20</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本年支出合计</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59</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r>
              <w:rPr>
                <w:rFonts w:hint="eastAsia"/>
                <w:sz w:val="18"/>
                <w:szCs w:val="18"/>
                <w:lang w:val="en-US" w:eastAsia="zh-CN"/>
              </w:rPr>
              <w:t>333.19</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r>
              <w:rPr>
                <w:rFonts w:hint="eastAsia"/>
                <w:sz w:val="18"/>
                <w:szCs w:val="18"/>
                <w:lang w:val="en-US" w:eastAsia="zh-CN"/>
              </w:rPr>
              <w:t>333.19</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年初财政拨款结转和结余</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28</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r>
              <w:rPr>
                <w:rFonts w:hint="eastAsia"/>
                <w:sz w:val="18"/>
                <w:szCs w:val="18"/>
                <w:lang w:val="en-US" w:eastAsia="zh-CN"/>
              </w:rPr>
              <w:t>55.90</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年末财政拨款结转和结余</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60</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r>
              <w:rPr>
                <w:rFonts w:hint="eastAsia"/>
                <w:sz w:val="18"/>
                <w:szCs w:val="18"/>
                <w:lang w:val="en-US" w:eastAsia="zh-CN"/>
              </w:rPr>
              <w:t>10.90</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r>
              <w:rPr>
                <w:rFonts w:hint="eastAsia"/>
                <w:sz w:val="18"/>
                <w:szCs w:val="18"/>
                <w:lang w:val="en-US" w:eastAsia="zh-CN"/>
              </w:rPr>
              <w:t>10.90</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 xml:space="preserve">  一般公共预算财政拨款</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29</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r>
              <w:rPr>
                <w:rFonts w:hint="eastAsia"/>
                <w:sz w:val="18"/>
                <w:szCs w:val="18"/>
                <w:lang w:val="en-US" w:eastAsia="zh-CN"/>
              </w:rPr>
              <w:t>55.90</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61</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 xml:space="preserve">  政府性基金预算财政拨款</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30</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62</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 xml:space="preserve">  国有资本经营预算财政拨款</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31</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63</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exac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总计</w:t>
            </w:r>
          </w:p>
        </w:tc>
        <w:tc>
          <w:tcPr>
            <w:tcW w:w="0" w:type="auto"/>
            <w:tcBorders>
              <w:top w:val="nil"/>
              <w:left w:val="nil"/>
              <w:bottom w:val="single" w:color="000000" w:sz="8"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32</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r>
              <w:rPr>
                <w:rFonts w:hint="eastAsia"/>
                <w:sz w:val="18"/>
                <w:szCs w:val="18"/>
                <w:lang w:val="en-US" w:eastAsia="zh-CN"/>
              </w:rPr>
              <w:t>344.09</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总计</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r>
              <w:rPr>
                <w:rFonts w:hint="eastAsia"/>
                <w:sz w:val="18"/>
                <w:szCs w:val="18"/>
                <w:lang w:val="en-US" w:eastAsia="zh-CN"/>
              </w:rPr>
              <w:t>64</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r>
              <w:rPr>
                <w:rFonts w:hint="eastAsia"/>
                <w:sz w:val="18"/>
                <w:szCs w:val="18"/>
                <w:lang w:val="en-US" w:eastAsia="zh-CN"/>
              </w:rPr>
              <w:t>344.09</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sz w:val="18"/>
                <w:szCs w:val="18"/>
              </w:rPr>
            </w:pPr>
            <w:r>
              <w:rPr>
                <w:rFonts w:hint="eastAsia"/>
                <w:sz w:val="18"/>
                <w:szCs w:val="18"/>
                <w:lang w:val="en-US" w:eastAsia="zh-CN"/>
              </w:rPr>
              <w:t>344.09</w:t>
            </w: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c>
          <w:tcPr>
            <w:tcW w:w="0" w:type="auto"/>
            <w:tcBorders>
              <w:top w:val="nil"/>
              <w:left w:val="nil"/>
              <w:bottom w:val="single" w:color="000000" w:sz="4" w:space="0"/>
              <w:right w:val="single" w:color="000000" w:sz="4" w:space="0"/>
            </w:tcBorders>
            <w:shd w:val="clear" w:color="auto" w:fill="auto"/>
            <w:noWrap/>
            <w:vAlign w:val="center"/>
          </w:tcPr>
          <w:p>
            <w:pPr>
              <w:rPr>
                <w:rFonts w:hint="eastAsia"/>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5600" w:type="dxa"/>
            <w:gridSpan w:val="9"/>
            <w:vMerge w:val="restart"/>
            <w:tcBorders>
              <w:top w:val="nil"/>
              <w:left w:val="nil"/>
              <w:bottom w:val="nil"/>
              <w:right w:val="nil"/>
            </w:tcBorders>
            <w:shd w:val="clear" w:color="auto" w:fill="auto"/>
            <w:vAlign w:val="center"/>
          </w:tcPr>
          <w:p>
            <w:pPr>
              <w:rPr>
                <w:rFonts w:hint="eastAsia"/>
                <w:sz w:val="18"/>
                <w:szCs w:val="18"/>
              </w:rPr>
            </w:pPr>
            <w:r>
              <w:rPr>
                <w:rFonts w:hint="eastAsia"/>
                <w:sz w:val="18"/>
                <w:szCs w:val="18"/>
                <w:lang w:val="en-US" w:eastAsia="zh-CN"/>
              </w:rPr>
              <w:t>注：本表反映部门本年度一般公共预算财政拨款、政府性基金预算财政拨款和国有资本经营预算财政拨款的总收支和年末结转结余情况。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15600" w:type="dxa"/>
            <w:gridSpan w:val="9"/>
            <w:vMerge w:val="continue"/>
            <w:tcBorders>
              <w:top w:val="nil"/>
              <w:left w:val="nil"/>
              <w:bottom w:val="nil"/>
              <w:right w:val="nil"/>
            </w:tcBorders>
            <w:shd w:val="clear" w:color="auto" w:fill="auto"/>
            <w:vAlign w:val="center"/>
          </w:tcPr>
          <w:p>
            <w:pPr>
              <w:rPr>
                <w:rFonts w:hint="eastAsia"/>
              </w:rPr>
            </w:pPr>
          </w:p>
        </w:tc>
      </w:tr>
    </w:tbl>
    <w:p/>
    <w:tbl>
      <w:tblPr>
        <w:tblStyle w:val="9"/>
        <w:tblW w:w="1559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11"/>
        <w:gridCol w:w="242"/>
        <w:gridCol w:w="385"/>
        <w:gridCol w:w="5103"/>
        <w:gridCol w:w="1495"/>
        <w:gridCol w:w="1744"/>
        <w:gridCol w:w="18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42" w:hRule="atLeast"/>
        </w:trPr>
        <w:tc>
          <w:tcPr>
            <w:tcW w:w="15598" w:type="dxa"/>
            <w:gridSpan w:val="7"/>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方正小标宋_GBK" w:hAnsi="方正小标宋_GBK" w:eastAsia="方正小标宋_GBK" w:cs="方正小标宋_GBK"/>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4811"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24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38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510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49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74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818"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4811"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部门：岳阳市市场监督管理局城陵矶新港区分局</w:t>
            </w:r>
          </w:p>
        </w:tc>
        <w:tc>
          <w:tcPr>
            <w:tcW w:w="24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38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5103"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49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74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818"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1054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057"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5438"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5103"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495"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4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18"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438"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0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95"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74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818"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3" w:hRule="atLeast"/>
        </w:trPr>
        <w:tc>
          <w:tcPr>
            <w:tcW w:w="5438"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10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95"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74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818"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1054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74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1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1054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333.19</w:t>
            </w:r>
          </w:p>
        </w:tc>
        <w:tc>
          <w:tcPr>
            <w:tcW w:w="174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231.07</w:t>
            </w:r>
          </w:p>
        </w:tc>
        <w:tc>
          <w:tcPr>
            <w:tcW w:w="181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102.12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51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307.75</w:t>
            </w:r>
          </w:p>
        </w:tc>
        <w:tc>
          <w:tcPr>
            <w:tcW w:w="174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205.63</w:t>
            </w:r>
          </w:p>
        </w:tc>
        <w:tc>
          <w:tcPr>
            <w:tcW w:w="181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20114</w:t>
            </w:r>
          </w:p>
        </w:tc>
        <w:tc>
          <w:tcPr>
            <w:tcW w:w="51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知识产权事务</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23.86</w:t>
            </w:r>
          </w:p>
        </w:tc>
        <w:tc>
          <w:tcPr>
            <w:tcW w:w="1744"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1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54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2011405</w:t>
            </w:r>
          </w:p>
        </w:tc>
        <w:tc>
          <w:tcPr>
            <w:tcW w:w="51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知识产权战略和规划</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8.37</w:t>
            </w:r>
          </w:p>
        </w:tc>
        <w:tc>
          <w:tcPr>
            <w:tcW w:w="1744"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1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2011409</w:t>
            </w:r>
          </w:p>
        </w:tc>
        <w:tc>
          <w:tcPr>
            <w:tcW w:w="51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知识产权宏观管理</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15.49</w:t>
            </w:r>
          </w:p>
        </w:tc>
        <w:tc>
          <w:tcPr>
            <w:tcW w:w="1744"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1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20138</w:t>
            </w:r>
          </w:p>
        </w:tc>
        <w:tc>
          <w:tcPr>
            <w:tcW w:w="51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市场监督管理事务</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283.89</w:t>
            </w:r>
          </w:p>
        </w:tc>
        <w:tc>
          <w:tcPr>
            <w:tcW w:w="174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205.63</w:t>
            </w:r>
          </w:p>
        </w:tc>
        <w:tc>
          <w:tcPr>
            <w:tcW w:w="181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2013801</w:t>
            </w:r>
          </w:p>
        </w:tc>
        <w:tc>
          <w:tcPr>
            <w:tcW w:w="51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175.36</w:t>
            </w:r>
          </w:p>
        </w:tc>
        <w:tc>
          <w:tcPr>
            <w:tcW w:w="174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175.36</w:t>
            </w:r>
          </w:p>
        </w:tc>
        <w:tc>
          <w:tcPr>
            <w:tcW w:w="1818"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54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2013802</w:t>
            </w:r>
          </w:p>
        </w:tc>
        <w:tc>
          <w:tcPr>
            <w:tcW w:w="51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一般行政管理事务</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82.35</w:t>
            </w:r>
          </w:p>
        </w:tc>
        <w:tc>
          <w:tcPr>
            <w:tcW w:w="174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30.27</w:t>
            </w:r>
          </w:p>
        </w:tc>
        <w:tc>
          <w:tcPr>
            <w:tcW w:w="181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2013816</w:t>
            </w:r>
          </w:p>
        </w:tc>
        <w:tc>
          <w:tcPr>
            <w:tcW w:w="51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食品安全监管</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1744"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1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2013899</w:t>
            </w:r>
          </w:p>
        </w:tc>
        <w:tc>
          <w:tcPr>
            <w:tcW w:w="51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其他市场监督管理事务</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23.18</w:t>
            </w:r>
          </w:p>
        </w:tc>
        <w:tc>
          <w:tcPr>
            <w:tcW w:w="1744"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18"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51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17.89</w:t>
            </w:r>
          </w:p>
        </w:tc>
        <w:tc>
          <w:tcPr>
            <w:tcW w:w="174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17.89</w:t>
            </w:r>
          </w:p>
        </w:tc>
        <w:tc>
          <w:tcPr>
            <w:tcW w:w="1818"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51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16.33</w:t>
            </w:r>
          </w:p>
        </w:tc>
        <w:tc>
          <w:tcPr>
            <w:tcW w:w="174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16.33</w:t>
            </w:r>
          </w:p>
        </w:tc>
        <w:tc>
          <w:tcPr>
            <w:tcW w:w="1818"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51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16.33</w:t>
            </w:r>
          </w:p>
        </w:tc>
        <w:tc>
          <w:tcPr>
            <w:tcW w:w="174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16.33</w:t>
            </w:r>
          </w:p>
        </w:tc>
        <w:tc>
          <w:tcPr>
            <w:tcW w:w="1818"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20811</w:t>
            </w:r>
          </w:p>
        </w:tc>
        <w:tc>
          <w:tcPr>
            <w:tcW w:w="51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残疾人事业</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174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1818"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2081199</w:t>
            </w:r>
          </w:p>
        </w:tc>
        <w:tc>
          <w:tcPr>
            <w:tcW w:w="51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其他残疾人事业支出</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174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1818"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51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7.55</w:t>
            </w:r>
          </w:p>
        </w:tc>
        <w:tc>
          <w:tcPr>
            <w:tcW w:w="174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7.55</w:t>
            </w:r>
          </w:p>
        </w:tc>
        <w:tc>
          <w:tcPr>
            <w:tcW w:w="1818"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1" w:hRule="atLeast"/>
        </w:trPr>
        <w:tc>
          <w:tcPr>
            <w:tcW w:w="54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51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7.55</w:t>
            </w:r>
          </w:p>
        </w:tc>
        <w:tc>
          <w:tcPr>
            <w:tcW w:w="174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7.55</w:t>
            </w:r>
          </w:p>
        </w:tc>
        <w:tc>
          <w:tcPr>
            <w:tcW w:w="1818"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 w:hRule="atLeast"/>
        </w:trPr>
        <w:tc>
          <w:tcPr>
            <w:tcW w:w="5438" w:type="dxa"/>
            <w:gridSpan w:val="3"/>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5103"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14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7.55</w:t>
            </w:r>
          </w:p>
        </w:tc>
        <w:tc>
          <w:tcPr>
            <w:tcW w:w="174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7.55</w:t>
            </w:r>
          </w:p>
        </w:tc>
        <w:tc>
          <w:tcPr>
            <w:tcW w:w="1818"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1" w:hRule="atLeast"/>
        </w:trPr>
        <w:tc>
          <w:tcPr>
            <w:tcW w:w="15598" w:type="dxa"/>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
    <w:p/>
    <w:p/>
    <w:tbl>
      <w:tblPr>
        <w:tblStyle w:val="9"/>
        <w:tblW w:w="1560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99"/>
        <w:gridCol w:w="3900"/>
        <w:gridCol w:w="1253"/>
        <w:gridCol w:w="1183"/>
        <w:gridCol w:w="2328"/>
        <w:gridCol w:w="978"/>
        <w:gridCol w:w="887"/>
        <w:gridCol w:w="2333"/>
        <w:gridCol w:w="15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15600" w:type="dxa"/>
            <w:gridSpan w:val="9"/>
            <w:tcBorders>
              <w:top w:val="nil"/>
              <w:left w:val="nil"/>
              <w:bottom w:val="nil"/>
              <w:right w:val="nil"/>
            </w:tcBorders>
            <w:shd w:val="clear" w:color="auto" w:fill="auto"/>
            <w:noWrap/>
            <w:vAlign w:val="bottom"/>
          </w:tcPr>
          <w:p>
            <w:pPr>
              <w:jc w:val="center"/>
              <w:rPr>
                <w:rFonts w:hint="eastAsia" w:ascii="方正小标宋_GBK" w:hAnsi="方正小标宋_GBK" w:eastAsia="方正小标宋_GBK" w:cs="方正小标宋_GBK"/>
                <w:sz w:val="36"/>
                <w:szCs w:val="36"/>
                <w:lang w:val="en-US" w:eastAsia="zh-CN"/>
              </w:rPr>
            </w:pPr>
          </w:p>
          <w:p>
            <w:pPr>
              <w:jc w:val="center"/>
              <w:rPr>
                <w:rFonts w:hint="eastAsia"/>
              </w:rPr>
            </w:pPr>
            <w:r>
              <w:rPr>
                <w:rFonts w:hint="eastAsia" w:ascii="方正小标宋_GBK" w:hAnsi="方正小标宋_GBK" w:eastAsia="方正小标宋_GBK" w:cs="方正小标宋_GBK"/>
                <w:sz w:val="36"/>
                <w:szCs w:val="36"/>
                <w:lang w:val="en-US" w:eastAsia="zh-CN"/>
              </w:rPr>
              <w:t>一般公共预算财政拨款基本支出决算表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5099" w:type="dxa"/>
            <w:gridSpan w:val="2"/>
            <w:vMerge w:val="restart"/>
            <w:tcBorders>
              <w:top w:val="nil"/>
              <w:left w:val="nil"/>
              <w:right w:val="nil"/>
            </w:tcBorders>
            <w:shd w:val="clear" w:color="auto" w:fill="auto"/>
            <w:noWrap/>
            <w:vAlign w:val="bottom"/>
          </w:tcPr>
          <w:p>
            <w:pPr>
              <w:rPr>
                <w:rFonts w:hint="default"/>
              </w:rPr>
            </w:pPr>
            <w:r>
              <w:rPr>
                <w:rFonts w:hint="eastAsia"/>
                <w:lang w:val="en-US" w:eastAsia="zh-CN"/>
              </w:rPr>
              <w:t>部门：岳阳市市场监督管理局城陵矶新港区分局</w:t>
            </w:r>
          </w:p>
        </w:tc>
        <w:tc>
          <w:tcPr>
            <w:tcW w:w="1253" w:type="dxa"/>
            <w:tcBorders>
              <w:top w:val="nil"/>
              <w:left w:val="nil"/>
              <w:bottom w:val="nil"/>
              <w:right w:val="nil"/>
            </w:tcBorders>
            <w:shd w:val="clear" w:color="auto" w:fill="auto"/>
            <w:noWrap/>
            <w:vAlign w:val="bottom"/>
          </w:tcPr>
          <w:p>
            <w:pPr>
              <w:rPr>
                <w:rFonts w:hint="default"/>
              </w:rPr>
            </w:pPr>
          </w:p>
        </w:tc>
        <w:tc>
          <w:tcPr>
            <w:tcW w:w="1183" w:type="dxa"/>
            <w:tcBorders>
              <w:top w:val="nil"/>
              <w:left w:val="nil"/>
              <w:bottom w:val="nil"/>
              <w:right w:val="nil"/>
            </w:tcBorders>
            <w:shd w:val="clear" w:color="auto" w:fill="auto"/>
            <w:noWrap/>
            <w:vAlign w:val="bottom"/>
          </w:tcPr>
          <w:p>
            <w:pPr>
              <w:rPr>
                <w:rFonts w:hint="default"/>
              </w:rPr>
            </w:pPr>
          </w:p>
        </w:tc>
        <w:tc>
          <w:tcPr>
            <w:tcW w:w="2328" w:type="dxa"/>
            <w:tcBorders>
              <w:top w:val="nil"/>
              <w:left w:val="nil"/>
              <w:bottom w:val="nil"/>
              <w:right w:val="nil"/>
            </w:tcBorders>
            <w:shd w:val="clear" w:color="auto" w:fill="auto"/>
            <w:noWrap/>
            <w:vAlign w:val="bottom"/>
          </w:tcPr>
          <w:p>
            <w:pPr>
              <w:rPr>
                <w:rFonts w:hint="default"/>
              </w:rPr>
            </w:pPr>
          </w:p>
        </w:tc>
        <w:tc>
          <w:tcPr>
            <w:tcW w:w="978" w:type="dxa"/>
            <w:tcBorders>
              <w:top w:val="nil"/>
              <w:left w:val="nil"/>
              <w:bottom w:val="nil"/>
              <w:right w:val="nil"/>
            </w:tcBorders>
            <w:shd w:val="clear" w:color="auto" w:fill="auto"/>
            <w:noWrap/>
            <w:vAlign w:val="bottom"/>
          </w:tcPr>
          <w:p>
            <w:pPr>
              <w:rPr>
                <w:rFonts w:hint="default"/>
              </w:rPr>
            </w:pPr>
          </w:p>
        </w:tc>
        <w:tc>
          <w:tcPr>
            <w:tcW w:w="887" w:type="dxa"/>
            <w:tcBorders>
              <w:top w:val="nil"/>
              <w:left w:val="nil"/>
              <w:bottom w:val="nil"/>
              <w:right w:val="nil"/>
            </w:tcBorders>
            <w:shd w:val="clear" w:color="auto" w:fill="auto"/>
            <w:noWrap/>
            <w:vAlign w:val="bottom"/>
          </w:tcPr>
          <w:p>
            <w:pPr>
              <w:rPr>
                <w:rFonts w:hint="default"/>
              </w:rPr>
            </w:pPr>
          </w:p>
        </w:tc>
        <w:tc>
          <w:tcPr>
            <w:tcW w:w="3872" w:type="dxa"/>
            <w:gridSpan w:val="2"/>
            <w:vMerge w:val="restart"/>
            <w:tcBorders>
              <w:top w:val="nil"/>
              <w:left w:val="nil"/>
              <w:right w:val="nil"/>
            </w:tcBorders>
            <w:shd w:val="clear" w:color="auto" w:fill="auto"/>
            <w:noWrap/>
            <w:vAlign w:val="bottom"/>
          </w:tcPr>
          <w:p>
            <w:pPr>
              <w:jc w:val="right"/>
              <w:rPr>
                <w:rFonts w:hint="default"/>
              </w:rPr>
            </w:pPr>
            <w:r>
              <w:rPr>
                <w:rFonts w:hint="eastAsia"/>
                <w:lang w:val="en-US" w:eastAsia="zh-CN"/>
              </w:rPr>
              <w:t>公开06表</w:t>
            </w:r>
          </w:p>
          <w:p>
            <w:pPr>
              <w:jc w:val="right"/>
              <w:rPr>
                <w:rFonts w:hint="eastAsia"/>
              </w:rPr>
            </w:pPr>
            <w:r>
              <w:rPr>
                <w:rFonts w:hint="eastAsia"/>
                <w:lang w:val="en-US" w:eastAsia="zh-CN"/>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5099" w:type="dxa"/>
            <w:gridSpan w:val="2"/>
            <w:vMerge w:val="continue"/>
            <w:tcBorders>
              <w:left w:val="nil"/>
              <w:bottom w:val="nil"/>
              <w:right w:val="nil"/>
            </w:tcBorders>
            <w:shd w:val="clear" w:color="auto" w:fill="auto"/>
            <w:noWrap/>
            <w:vAlign w:val="bottom"/>
          </w:tcPr>
          <w:p>
            <w:pPr>
              <w:rPr>
                <w:rFonts w:hint="default"/>
              </w:rPr>
            </w:pPr>
          </w:p>
        </w:tc>
        <w:tc>
          <w:tcPr>
            <w:tcW w:w="1253" w:type="dxa"/>
            <w:tcBorders>
              <w:top w:val="nil"/>
              <w:left w:val="nil"/>
              <w:bottom w:val="nil"/>
              <w:right w:val="nil"/>
            </w:tcBorders>
            <w:shd w:val="clear" w:color="auto" w:fill="auto"/>
            <w:noWrap/>
            <w:vAlign w:val="bottom"/>
          </w:tcPr>
          <w:p>
            <w:pPr>
              <w:rPr>
                <w:rFonts w:hint="default"/>
              </w:rPr>
            </w:pPr>
          </w:p>
        </w:tc>
        <w:tc>
          <w:tcPr>
            <w:tcW w:w="1183" w:type="dxa"/>
            <w:tcBorders>
              <w:top w:val="nil"/>
              <w:left w:val="nil"/>
              <w:bottom w:val="nil"/>
              <w:right w:val="nil"/>
            </w:tcBorders>
            <w:shd w:val="clear" w:color="auto" w:fill="auto"/>
            <w:noWrap/>
            <w:vAlign w:val="bottom"/>
          </w:tcPr>
          <w:p>
            <w:pPr>
              <w:rPr>
                <w:rFonts w:hint="default"/>
              </w:rPr>
            </w:pPr>
          </w:p>
        </w:tc>
        <w:tc>
          <w:tcPr>
            <w:tcW w:w="2328" w:type="dxa"/>
            <w:tcBorders>
              <w:top w:val="nil"/>
              <w:left w:val="nil"/>
              <w:bottom w:val="nil"/>
              <w:right w:val="nil"/>
            </w:tcBorders>
            <w:shd w:val="clear" w:color="auto" w:fill="auto"/>
            <w:noWrap/>
            <w:vAlign w:val="bottom"/>
          </w:tcPr>
          <w:p>
            <w:pPr>
              <w:rPr>
                <w:rFonts w:hint="default"/>
              </w:rPr>
            </w:pPr>
          </w:p>
        </w:tc>
        <w:tc>
          <w:tcPr>
            <w:tcW w:w="978" w:type="dxa"/>
            <w:tcBorders>
              <w:top w:val="nil"/>
              <w:left w:val="nil"/>
              <w:bottom w:val="nil"/>
              <w:right w:val="nil"/>
            </w:tcBorders>
            <w:shd w:val="clear" w:color="auto" w:fill="auto"/>
            <w:noWrap/>
            <w:vAlign w:val="bottom"/>
          </w:tcPr>
          <w:p>
            <w:pPr>
              <w:rPr>
                <w:rFonts w:hint="default"/>
              </w:rPr>
            </w:pPr>
          </w:p>
        </w:tc>
        <w:tc>
          <w:tcPr>
            <w:tcW w:w="887" w:type="dxa"/>
            <w:tcBorders>
              <w:top w:val="nil"/>
              <w:left w:val="nil"/>
              <w:bottom w:val="nil"/>
              <w:right w:val="nil"/>
            </w:tcBorders>
            <w:shd w:val="clear" w:color="auto" w:fill="auto"/>
            <w:noWrap/>
            <w:vAlign w:val="bottom"/>
          </w:tcPr>
          <w:p>
            <w:pPr>
              <w:rPr>
                <w:rFonts w:hint="default"/>
              </w:rPr>
            </w:pPr>
          </w:p>
        </w:tc>
        <w:tc>
          <w:tcPr>
            <w:tcW w:w="3872" w:type="dxa"/>
            <w:gridSpan w:val="2"/>
            <w:vMerge w:val="continue"/>
            <w:tcBorders>
              <w:left w:val="nil"/>
              <w:bottom w:val="nil"/>
              <w:right w:val="nil"/>
            </w:tcBorders>
            <w:shd w:val="clear" w:color="auto" w:fill="auto"/>
            <w:noWrap/>
            <w:vAlign w:val="bottom"/>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635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人员经费</w:t>
            </w:r>
          </w:p>
        </w:tc>
        <w:tc>
          <w:tcPr>
            <w:tcW w:w="9248" w:type="dxa"/>
            <w:gridSpan w:val="6"/>
            <w:tcBorders>
              <w:top w:val="single" w:color="000000" w:sz="4" w:space="0"/>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exact"/>
        </w:trPr>
        <w:tc>
          <w:tcPr>
            <w:tcW w:w="1199" w:type="dxa"/>
            <w:vMerge w:val="restart"/>
            <w:tcBorders>
              <w:top w:val="nil"/>
              <w:left w:val="single" w:color="000000" w:sz="4" w:space="0"/>
              <w:bottom w:val="single" w:color="000000" w:sz="4" w:space="0"/>
              <w:right w:val="single" w:color="000000" w:sz="4" w:space="0"/>
            </w:tcBorders>
            <w:shd w:val="clear" w:color="auto" w:fill="auto"/>
            <w:vAlign w:val="center"/>
          </w:tcPr>
          <w:p>
            <w:pPr>
              <w:rPr>
                <w:rFonts w:hint="eastAsia"/>
              </w:rPr>
            </w:pPr>
            <w:r>
              <w:rPr>
                <w:rFonts w:hint="eastAsia"/>
                <w:lang w:val="en-US" w:eastAsia="zh-CN"/>
              </w:rPr>
              <w:t>经济分类科目编码</w:t>
            </w:r>
          </w:p>
        </w:tc>
        <w:tc>
          <w:tcPr>
            <w:tcW w:w="3900" w:type="dxa"/>
            <w:vMerge w:val="restart"/>
            <w:tcBorders>
              <w:top w:val="nil"/>
              <w:left w:val="nil"/>
              <w:bottom w:val="single" w:color="000000" w:sz="4" w:space="0"/>
              <w:right w:val="single" w:color="000000" w:sz="4" w:space="0"/>
            </w:tcBorders>
            <w:shd w:val="clear" w:color="auto" w:fill="auto"/>
            <w:vAlign w:val="center"/>
          </w:tcPr>
          <w:p>
            <w:pPr>
              <w:rPr>
                <w:rFonts w:hint="eastAsia"/>
              </w:rPr>
            </w:pPr>
            <w:r>
              <w:rPr>
                <w:rFonts w:hint="eastAsia"/>
                <w:lang w:val="en-US" w:eastAsia="zh-CN"/>
              </w:rPr>
              <w:t>科目名称</w:t>
            </w:r>
          </w:p>
        </w:tc>
        <w:tc>
          <w:tcPr>
            <w:tcW w:w="1253" w:type="dxa"/>
            <w:vMerge w:val="restart"/>
            <w:tcBorders>
              <w:top w:val="nil"/>
              <w:left w:val="nil"/>
              <w:bottom w:val="single" w:color="000000" w:sz="4" w:space="0"/>
              <w:right w:val="single" w:color="000000" w:sz="4" w:space="0"/>
            </w:tcBorders>
            <w:shd w:val="clear" w:color="auto" w:fill="auto"/>
            <w:vAlign w:val="center"/>
          </w:tcPr>
          <w:p>
            <w:pPr>
              <w:rPr>
                <w:rFonts w:hint="eastAsia"/>
              </w:rPr>
            </w:pPr>
            <w:r>
              <w:rPr>
                <w:rFonts w:hint="eastAsia"/>
                <w:lang w:val="en-US" w:eastAsia="zh-CN"/>
              </w:rPr>
              <w:t>决算数</w:t>
            </w:r>
          </w:p>
        </w:tc>
        <w:tc>
          <w:tcPr>
            <w:tcW w:w="1183" w:type="dxa"/>
            <w:vMerge w:val="restart"/>
            <w:tcBorders>
              <w:top w:val="nil"/>
              <w:left w:val="nil"/>
              <w:bottom w:val="single" w:color="000000" w:sz="4" w:space="0"/>
              <w:right w:val="single" w:color="000000" w:sz="4" w:space="0"/>
            </w:tcBorders>
            <w:shd w:val="clear" w:color="auto" w:fill="auto"/>
            <w:vAlign w:val="center"/>
          </w:tcPr>
          <w:p>
            <w:pPr>
              <w:rPr>
                <w:rFonts w:hint="eastAsia"/>
              </w:rPr>
            </w:pPr>
            <w:r>
              <w:rPr>
                <w:rFonts w:hint="eastAsia"/>
                <w:lang w:val="en-US" w:eastAsia="zh-CN"/>
              </w:rPr>
              <w:t>经济分类科目编码</w:t>
            </w:r>
          </w:p>
        </w:tc>
        <w:tc>
          <w:tcPr>
            <w:tcW w:w="2328" w:type="dxa"/>
            <w:vMerge w:val="restart"/>
            <w:tcBorders>
              <w:top w:val="nil"/>
              <w:left w:val="nil"/>
              <w:bottom w:val="single" w:color="000000" w:sz="4" w:space="0"/>
              <w:right w:val="single" w:color="000000" w:sz="4" w:space="0"/>
            </w:tcBorders>
            <w:shd w:val="clear" w:color="auto" w:fill="auto"/>
            <w:vAlign w:val="center"/>
          </w:tcPr>
          <w:p>
            <w:pPr>
              <w:rPr>
                <w:rFonts w:hint="eastAsia"/>
              </w:rPr>
            </w:pPr>
            <w:r>
              <w:rPr>
                <w:rFonts w:hint="eastAsia"/>
                <w:lang w:val="en-US" w:eastAsia="zh-CN"/>
              </w:rPr>
              <w:t>科目名称</w:t>
            </w:r>
          </w:p>
        </w:tc>
        <w:tc>
          <w:tcPr>
            <w:tcW w:w="978" w:type="dxa"/>
            <w:vMerge w:val="restart"/>
            <w:tcBorders>
              <w:top w:val="nil"/>
              <w:left w:val="nil"/>
              <w:bottom w:val="single" w:color="000000" w:sz="4" w:space="0"/>
              <w:right w:val="single" w:color="000000" w:sz="4" w:space="0"/>
            </w:tcBorders>
            <w:shd w:val="clear" w:color="auto" w:fill="auto"/>
            <w:vAlign w:val="center"/>
          </w:tcPr>
          <w:p>
            <w:pPr>
              <w:rPr>
                <w:rFonts w:hint="eastAsia"/>
              </w:rPr>
            </w:pPr>
            <w:r>
              <w:rPr>
                <w:rFonts w:hint="eastAsia"/>
                <w:lang w:val="en-US" w:eastAsia="zh-CN"/>
              </w:rPr>
              <w:t>决算数</w:t>
            </w:r>
          </w:p>
        </w:tc>
        <w:tc>
          <w:tcPr>
            <w:tcW w:w="887" w:type="dxa"/>
            <w:vMerge w:val="restart"/>
            <w:tcBorders>
              <w:top w:val="nil"/>
              <w:left w:val="nil"/>
              <w:bottom w:val="single" w:color="000000" w:sz="4" w:space="0"/>
              <w:right w:val="single" w:color="000000" w:sz="4" w:space="0"/>
            </w:tcBorders>
            <w:shd w:val="clear" w:color="auto" w:fill="auto"/>
            <w:vAlign w:val="center"/>
          </w:tcPr>
          <w:p>
            <w:pPr>
              <w:rPr>
                <w:rFonts w:hint="eastAsia"/>
              </w:rPr>
            </w:pPr>
            <w:r>
              <w:rPr>
                <w:rFonts w:hint="eastAsia"/>
                <w:lang w:val="en-US" w:eastAsia="zh-CN"/>
              </w:rPr>
              <w:t>经济分类科目编码</w:t>
            </w:r>
          </w:p>
        </w:tc>
        <w:tc>
          <w:tcPr>
            <w:tcW w:w="2333" w:type="dxa"/>
            <w:vMerge w:val="restart"/>
            <w:tcBorders>
              <w:top w:val="nil"/>
              <w:left w:val="nil"/>
              <w:bottom w:val="single" w:color="000000" w:sz="4" w:space="0"/>
              <w:right w:val="single" w:color="000000" w:sz="4" w:space="0"/>
            </w:tcBorders>
            <w:shd w:val="clear" w:color="auto" w:fill="auto"/>
            <w:vAlign w:val="center"/>
          </w:tcPr>
          <w:p>
            <w:pPr>
              <w:rPr>
                <w:rFonts w:hint="eastAsia"/>
              </w:rPr>
            </w:pPr>
            <w:r>
              <w:rPr>
                <w:rFonts w:hint="eastAsia"/>
                <w:lang w:val="en-US" w:eastAsia="zh-CN"/>
              </w:rPr>
              <w:t>科目名称</w:t>
            </w:r>
          </w:p>
        </w:tc>
        <w:tc>
          <w:tcPr>
            <w:tcW w:w="1539" w:type="dxa"/>
            <w:vMerge w:val="restart"/>
            <w:tcBorders>
              <w:top w:val="nil"/>
              <w:left w:val="nil"/>
              <w:bottom w:val="single" w:color="000000" w:sz="4" w:space="0"/>
              <w:right w:val="single" w:color="000000" w:sz="4" w:space="0"/>
            </w:tcBorders>
            <w:shd w:val="clear" w:color="auto" w:fill="auto"/>
            <w:vAlign w:val="center"/>
          </w:tcPr>
          <w:p>
            <w:pPr>
              <w:rPr>
                <w:rFonts w:hint="eastAsia"/>
              </w:rPr>
            </w:pPr>
            <w:r>
              <w:rPr>
                <w:rFonts w:hint="eastAsia"/>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exact"/>
        </w:trPr>
        <w:tc>
          <w:tcPr>
            <w:tcW w:w="1199" w:type="dxa"/>
            <w:vMerge w:val="continue"/>
            <w:tcBorders>
              <w:top w:val="nil"/>
              <w:left w:val="single" w:color="000000" w:sz="4" w:space="0"/>
              <w:bottom w:val="single" w:color="000000" w:sz="4" w:space="0"/>
              <w:right w:val="single" w:color="000000" w:sz="4" w:space="0"/>
            </w:tcBorders>
            <w:shd w:val="clear" w:color="auto" w:fill="auto"/>
            <w:vAlign w:val="center"/>
          </w:tcPr>
          <w:p>
            <w:pPr>
              <w:rPr>
                <w:rFonts w:hint="eastAsia"/>
              </w:rPr>
            </w:pPr>
          </w:p>
        </w:tc>
        <w:tc>
          <w:tcPr>
            <w:tcW w:w="3900" w:type="dxa"/>
            <w:vMerge w:val="continue"/>
            <w:tcBorders>
              <w:top w:val="nil"/>
              <w:left w:val="nil"/>
              <w:bottom w:val="single" w:color="000000" w:sz="4" w:space="0"/>
              <w:right w:val="single" w:color="000000" w:sz="4" w:space="0"/>
            </w:tcBorders>
            <w:shd w:val="clear" w:color="auto" w:fill="auto"/>
            <w:vAlign w:val="center"/>
          </w:tcPr>
          <w:p>
            <w:pPr>
              <w:rPr>
                <w:rFonts w:hint="eastAsia"/>
              </w:rPr>
            </w:pPr>
          </w:p>
        </w:tc>
        <w:tc>
          <w:tcPr>
            <w:tcW w:w="1253" w:type="dxa"/>
            <w:vMerge w:val="continue"/>
            <w:tcBorders>
              <w:top w:val="nil"/>
              <w:left w:val="nil"/>
              <w:bottom w:val="single" w:color="000000" w:sz="4" w:space="0"/>
              <w:right w:val="single" w:color="000000" w:sz="4" w:space="0"/>
            </w:tcBorders>
            <w:shd w:val="clear" w:color="auto" w:fill="auto"/>
            <w:vAlign w:val="center"/>
          </w:tcPr>
          <w:p>
            <w:pPr>
              <w:rPr>
                <w:rFonts w:hint="eastAsia"/>
              </w:rPr>
            </w:pPr>
          </w:p>
        </w:tc>
        <w:tc>
          <w:tcPr>
            <w:tcW w:w="1183" w:type="dxa"/>
            <w:vMerge w:val="continue"/>
            <w:tcBorders>
              <w:top w:val="nil"/>
              <w:left w:val="nil"/>
              <w:bottom w:val="single" w:color="000000" w:sz="4" w:space="0"/>
              <w:right w:val="single" w:color="000000" w:sz="4" w:space="0"/>
            </w:tcBorders>
            <w:shd w:val="clear" w:color="auto" w:fill="auto"/>
            <w:vAlign w:val="center"/>
          </w:tcPr>
          <w:p>
            <w:pPr>
              <w:rPr>
                <w:rFonts w:hint="eastAsia"/>
              </w:rPr>
            </w:pPr>
          </w:p>
        </w:tc>
        <w:tc>
          <w:tcPr>
            <w:tcW w:w="2328" w:type="dxa"/>
            <w:vMerge w:val="continue"/>
            <w:tcBorders>
              <w:top w:val="nil"/>
              <w:left w:val="nil"/>
              <w:bottom w:val="single" w:color="000000" w:sz="4" w:space="0"/>
              <w:right w:val="single" w:color="000000" w:sz="4" w:space="0"/>
            </w:tcBorders>
            <w:shd w:val="clear" w:color="auto" w:fill="auto"/>
            <w:vAlign w:val="center"/>
          </w:tcPr>
          <w:p>
            <w:pPr>
              <w:rPr>
                <w:rFonts w:hint="eastAsia"/>
              </w:rPr>
            </w:pPr>
          </w:p>
        </w:tc>
        <w:tc>
          <w:tcPr>
            <w:tcW w:w="978" w:type="dxa"/>
            <w:vMerge w:val="continue"/>
            <w:tcBorders>
              <w:top w:val="nil"/>
              <w:left w:val="nil"/>
              <w:bottom w:val="single" w:color="000000" w:sz="4" w:space="0"/>
              <w:right w:val="single" w:color="000000" w:sz="4" w:space="0"/>
            </w:tcBorders>
            <w:shd w:val="clear" w:color="auto" w:fill="auto"/>
            <w:vAlign w:val="center"/>
          </w:tcPr>
          <w:p>
            <w:pPr>
              <w:rPr>
                <w:rFonts w:hint="eastAsia"/>
              </w:rPr>
            </w:pPr>
          </w:p>
        </w:tc>
        <w:tc>
          <w:tcPr>
            <w:tcW w:w="887" w:type="dxa"/>
            <w:vMerge w:val="continue"/>
            <w:tcBorders>
              <w:top w:val="nil"/>
              <w:left w:val="nil"/>
              <w:bottom w:val="single" w:color="000000" w:sz="4" w:space="0"/>
              <w:right w:val="single" w:color="000000" w:sz="4" w:space="0"/>
            </w:tcBorders>
            <w:shd w:val="clear" w:color="auto" w:fill="auto"/>
            <w:vAlign w:val="center"/>
          </w:tcPr>
          <w:p>
            <w:pPr>
              <w:rPr>
                <w:rFonts w:hint="eastAsia"/>
              </w:rPr>
            </w:pPr>
          </w:p>
        </w:tc>
        <w:tc>
          <w:tcPr>
            <w:tcW w:w="2333" w:type="dxa"/>
            <w:vMerge w:val="continue"/>
            <w:tcBorders>
              <w:top w:val="nil"/>
              <w:left w:val="nil"/>
              <w:bottom w:val="single" w:color="000000" w:sz="4" w:space="0"/>
              <w:right w:val="single" w:color="000000" w:sz="4" w:space="0"/>
            </w:tcBorders>
            <w:shd w:val="clear" w:color="auto" w:fill="auto"/>
            <w:vAlign w:val="center"/>
          </w:tcPr>
          <w:p>
            <w:pPr>
              <w:rPr>
                <w:rFonts w:hint="eastAsia"/>
              </w:rPr>
            </w:pPr>
          </w:p>
        </w:tc>
        <w:tc>
          <w:tcPr>
            <w:tcW w:w="1539" w:type="dxa"/>
            <w:vMerge w:val="continue"/>
            <w:tcBorders>
              <w:top w:val="nil"/>
              <w:left w:val="nil"/>
              <w:bottom w:val="single" w:color="000000" w:sz="4" w:space="0"/>
              <w:right w:val="single" w:color="000000" w:sz="4" w:space="0"/>
            </w:tcBorders>
            <w:shd w:val="clear" w:color="auto" w:fill="auto"/>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301</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工资福利支出</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188.94</w:t>
            </w: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商品和服务支出</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42.13</w:t>
            </w: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307</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债务利息及费用支出</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30101</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基本工资</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69.70</w:t>
            </w: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30201</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办公费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1.09</w:t>
            </w: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30701</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国内债务付息</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30102</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津贴补贴</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47.89</w:t>
            </w: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30202</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印刷费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30702</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国外债务付息</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30103</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奖金</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20.33</w:t>
            </w: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30203</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咨询费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0.20</w:t>
            </w: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310</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资本性支出</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30106</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伙食补助费</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8.30</w:t>
            </w: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30204</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手续费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31001</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房屋建筑物购建</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30107</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绩效工资</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30205</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水费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31002</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办公设备购置</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30108</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机关事业单位基本养老保险缴费</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16.69</w:t>
            </w: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30206</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电费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31003</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专用设备购置</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30109</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职业年金缴费</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30207</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邮电费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0.61</w:t>
            </w: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31005</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基础设施建设</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30110</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职工基本医疗保险缴费</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7.82</w:t>
            </w: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30208</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取暖费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31006</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大型修缮</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30111</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公务员医疗补助缴费</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30209</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物业管理费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1.80</w:t>
            </w: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31007</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信息网络及软件购置更新</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30112</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其他社会保障缴费</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1.56</w:t>
            </w: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30211</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差旅费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2.07</w:t>
            </w: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31008</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物资储备</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30113</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住房公积金</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14.19</w:t>
            </w: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30212</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因公出国（境）费用</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31009</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土地补偿</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30114</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医疗费</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2.46</w:t>
            </w: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30213</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维修（护）费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0.10</w:t>
            </w: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31010</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安置补助</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30199</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其他工资福利支出</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30214</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租赁费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0.28</w:t>
            </w: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31011</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地上附着物和青苗补偿</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303</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对个人和家庭的补助</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30215</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会议费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31012</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拆迁补偿</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30301</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离休费</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30216</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培训费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31013</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公务用车购置</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30302</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退休费</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30217</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公务接待费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0.51</w:t>
            </w: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31019</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其他交通工具购置</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30303</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退职（役）费</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30218</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专用材料费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31021</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文物和陈列品购置</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30304</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抚恤金</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30224</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被装购置费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31022</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无形资产购置</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30305</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生活补助</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30225</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专用燃料费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31099</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其他资本性支出</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30306</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救济费</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30226</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劳务费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399</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其他支出</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30307</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医疗费补助</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30227</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委托业务费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5.38</w:t>
            </w: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39906</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赠与</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30308</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助学金</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30228</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工会经费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5.56</w:t>
            </w: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39907</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国家赔偿费用支出</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30309</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奖励金</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30229</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福利费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39908</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对民间非营利组织和群众性自治组织补贴</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30310</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个人农业生产补贴</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30231</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公务用车运行维护费</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2.80</w:t>
            </w: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39999</w:t>
            </w: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其他支出</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30311</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代缴社会保险费</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30239</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其他交通费用</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13.33</w:t>
            </w: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30399</w:t>
            </w: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其他对个人和家庭的补助</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30240</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税金及附加费用</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199" w:type="dxa"/>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p>
        </w:tc>
        <w:tc>
          <w:tcPr>
            <w:tcW w:w="3900" w:type="dxa"/>
            <w:tcBorders>
              <w:top w:val="nil"/>
              <w:left w:val="nil"/>
              <w:bottom w:val="single" w:color="000000" w:sz="4" w:space="0"/>
              <w:right w:val="single" w:color="000000" w:sz="4" w:space="0"/>
            </w:tcBorders>
            <w:shd w:val="clear" w:color="auto" w:fill="auto"/>
            <w:noWrap/>
            <w:vAlign w:val="center"/>
          </w:tcPr>
          <w:p>
            <w:pPr>
              <w:rPr>
                <w:rFonts w:hint="eastAsia"/>
              </w:rPr>
            </w:pP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p>
        </w:tc>
        <w:tc>
          <w:tcPr>
            <w:tcW w:w="1183"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30299</w:t>
            </w:r>
          </w:p>
        </w:tc>
        <w:tc>
          <w:tcPr>
            <w:tcW w:w="2328"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 xml:space="preserve">  其他商品和服务支出</w:t>
            </w:r>
          </w:p>
        </w:tc>
        <w:tc>
          <w:tcPr>
            <w:tcW w:w="978"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8.41</w:t>
            </w:r>
          </w:p>
        </w:tc>
        <w:tc>
          <w:tcPr>
            <w:tcW w:w="887" w:type="dxa"/>
            <w:tcBorders>
              <w:top w:val="nil"/>
              <w:left w:val="nil"/>
              <w:bottom w:val="single" w:color="000000" w:sz="4" w:space="0"/>
              <w:right w:val="single" w:color="000000" w:sz="4" w:space="0"/>
            </w:tcBorders>
            <w:shd w:val="clear" w:color="auto" w:fill="auto"/>
            <w:noWrap/>
            <w:vAlign w:val="center"/>
          </w:tcPr>
          <w:p>
            <w:pPr>
              <w:rPr>
                <w:rFonts w:hint="eastAsia"/>
              </w:rPr>
            </w:pPr>
          </w:p>
        </w:tc>
        <w:tc>
          <w:tcPr>
            <w:tcW w:w="2333" w:type="dxa"/>
            <w:tcBorders>
              <w:top w:val="nil"/>
              <w:left w:val="nil"/>
              <w:bottom w:val="single" w:color="000000" w:sz="4" w:space="0"/>
              <w:right w:val="single" w:color="000000" w:sz="4" w:space="0"/>
            </w:tcBorders>
            <w:shd w:val="clear" w:color="auto" w:fill="auto"/>
            <w:noWrap/>
            <w:vAlign w:val="center"/>
          </w:tcPr>
          <w:p>
            <w:pPr>
              <w:rPr>
                <w:rFonts w:hint="eastAsia"/>
              </w:rPr>
            </w:pP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5099" w:type="dxa"/>
            <w:gridSpan w:val="2"/>
            <w:tcBorders>
              <w:top w:val="nil"/>
              <w:left w:val="single" w:color="000000" w:sz="4" w:space="0"/>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人员经费合计</w:t>
            </w:r>
          </w:p>
        </w:tc>
        <w:tc>
          <w:tcPr>
            <w:tcW w:w="1253" w:type="dxa"/>
            <w:tcBorders>
              <w:top w:val="nil"/>
              <w:left w:val="nil"/>
              <w:bottom w:val="single" w:color="000000" w:sz="4" w:space="0"/>
              <w:right w:val="single" w:color="000000" w:sz="4" w:space="0"/>
            </w:tcBorders>
            <w:shd w:val="clear" w:color="auto" w:fill="auto"/>
            <w:noWrap/>
            <w:vAlign w:val="center"/>
          </w:tcPr>
          <w:p>
            <w:pPr>
              <w:jc w:val="center"/>
              <w:rPr>
                <w:rFonts w:hint="eastAsia"/>
              </w:rPr>
            </w:pPr>
            <w:r>
              <w:rPr>
                <w:rFonts w:hint="eastAsia"/>
                <w:lang w:val="en-US" w:eastAsia="zh-CN"/>
              </w:rPr>
              <w:t>188.94</w:t>
            </w:r>
          </w:p>
        </w:tc>
        <w:tc>
          <w:tcPr>
            <w:tcW w:w="7709" w:type="dxa"/>
            <w:gridSpan w:val="5"/>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公用经费合计</w:t>
            </w:r>
          </w:p>
        </w:tc>
        <w:tc>
          <w:tcPr>
            <w:tcW w:w="1539" w:type="dxa"/>
            <w:tcBorders>
              <w:top w:val="nil"/>
              <w:left w:val="nil"/>
              <w:bottom w:val="single" w:color="000000" w:sz="4" w:space="0"/>
              <w:right w:val="single" w:color="000000" w:sz="4" w:space="0"/>
            </w:tcBorders>
            <w:shd w:val="clear" w:color="auto" w:fill="auto"/>
            <w:noWrap/>
            <w:vAlign w:val="center"/>
          </w:tcPr>
          <w:p>
            <w:pPr>
              <w:rPr>
                <w:rFonts w:hint="eastAsia"/>
              </w:rPr>
            </w:pPr>
            <w:r>
              <w:rPr>
                <w:rFonts w:hint="eastAsia"/>
                <w:lang w:val="en-US" w:eastAsia="zh-CN"/>
              </w:rPr>
              <w:t>42.13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5600" w:type="dxa"/>
            <w:gridSpan w:val="9"/>
            <w:tcBorders>
              <w:top w:val="nil"/>
              <w:left w:val="nil"/>
              <w:bottom w:val="nil"/>
              <w:right w:val="nil"/>
            </w:tcBorders>
            <w:shd w:val="clear" w:color="auto" w:fill="auto"/>
            <w:noWrap/>
            <w:vAlign w:val="center"/>
          </w:tcPr>
          <w:p>
            <w:pPr>
              <w:rPr>
                <w:rFonts w:hint="eastAsia"/>
                <w:lang w:val="en-US" w:eastAsia="zh-CN"/>
              </w:rPr>
            </w:pPr>
            <w:r>
              <w:rPr>
                <w:rFonts w:hint="eastAsia"/>
                <w:lang w:val="en-US" w:eastAsia="zh-CN"/>
              </w:rPr>
              <w:t>注：本表反映部门本年度一般公共预算财政拨款基本支出明细情况。</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exact"/>
        </w:trPr>
        <w:tc>
          <w:tcPr>
            <w:tcW w:w="15600" w:type="dxa"/>
            <w:gridSpan w:val="9"/>
            <w:tcBorders>
              <w:top w:val="nil"/>
              <w:left w:val="nil"/>
              <w:bottom w:val="nil"/>
              <w:right w:val="nil"/>
            </w:tcBorders>
            <w:shd w:val="clear" w:color="auto" w:fill="auto"/>
            <w:noWrap/>
            <w:vAlign w:val="center"/>
          </w:tcPr>
          <w:p>
            <w:pPr>
              <w:rPr>
                <w:rFonts w:hint="eastAsia"/>
                <w:lang w:val="en-US" w:eastAsia="zh-CN"/>
              </w:rPr>
            </w:pPr>
          </w:p>
          <w:p>
            <w:pPr>
              <w:rPr>
                <w:rFonts w:hint="eastAsia"/>
                <w:lang w:val="en-US" w:eastAsia="zh-CN"/>
              </w:rPr>
            </w:pPr>
          </w:p>
        </w:tc>
      </w:tr>
    </w:tbl>
    <w:p/>
    <w:p/>
    <w:p/>
    <w:p/>
    <w:tbl>
      <w:tblPr>
        <w:tblStyle w:val="9"/>
        <w:tblW w:w="15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639"/>
        <w:gridCol w:w="1136"/>
        <w:gridCol w:w="871"/>
        <w:gridCol w:w="620"/>
        <w:gridCol w:w="890"/>
        <w:gridCol w:w="867"/>
        <w:gridCol w:w="866"/>
        <w:gridCol w:w="1136"/>
        <w:gridCol w:w="834"/>
        <w:gridCol w:w="626"/>
        <w:gridCol w:w="831"/>
        <w:gridCol w:w="17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5" w:hRule="atLeast"/>
        </w:trPr>
        <w:tc>
          <w:tcPr>
            <w:tcW w:w="15020" w:type="dxa"/>
            <w:gridSpan w:val="12"/>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方正小标宋_GBK" w:hAnsi="方正小标宋_GBK" w:eastAsia="方正小标宋_GBK" w:cs="方正小标宋_GBK"/>
                <w:i w:val="0"/>
                <w:iCs w:val="0"/>
                <w:color w:val="000000"/>
                <w:kern w:val="0"/>
                <w:sz w:val="36"/>
                <w:szCs w:val="36"/>
                <w:u w:val="none"/>
                <w:lang w:val="en-US" w:eastAsia="zh-CN" w:bidi="ar"/>
              </w:rPr>
              <w:t>一般公共预算财政拨款“三公"经费支出决算表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2" w:hRule="atLeast"/>
        </w:trPr>
        <w:tc>
          <w:tcPr>
            <w:tcW w:w="0" w:type="auto"/>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2"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部门：岳阳市市场监督管理局城陵矶新港区分局</w:t>
            </w: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7"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0" w:type="auto"/>
            <w:gridSpan w:val="6"/>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8" w:hRule="atLeast"/>
        </w:trPr>
        <w:tc>
          <w:tcPr>
            <w:tcW w:w="463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136"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238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公务用车购置及运行费</w:t>
            </w:r>
          </w:p>
        </w:tc>
        <w:tc>
          <w:tcPr>
            <w:tcW w:w="86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866"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136"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2291"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公务用车购置及运行费</w:t>
            </w:r>
          </w:p>
        </w:tc>
        <w:tc>
          <w:tcPr>
            <w:tcW w:w="170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72" w:hRule="atLeast"/>
        </w:trPr>
        <w:tc>
          <w:tcPr>
            <w:tcW w:w="4639"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13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6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8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公务用车运行费</w:t>
            </w:r>
          </w:p>
        </w:tc>
        <w:tc>
          <w:tcPr>
            <w:tcW w:w="86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6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13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6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83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公务用车运行费</w:t>
            </w:r>
          </w:p>
        </w:tc>
        <w:tc>
          <w:tcPr>
            <w:tcW w:w="170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5" w:hRule="atLeast"/>
        </w:trPr>
        <w:tc>
          <w:tcPr>
            <w:tcW w:w="463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3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7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6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13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8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6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3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70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2"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4.31</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w:t>
            </w:r>
          </w:p>
        </w:tc>
        <w:tc>
          <w:tcPr>
            <w:tcW w:w="0" w:type="auto"/>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3.80</w:t>
            </w: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8" w:hRule="atLeast"/>
        </w:trPr>
        <w:tc>
          <w:tcPr>
            <w:tcW w:w="1502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p/>
    <w:p/>
    <w:p/>
    <w:p/>
    <w:p/>
    <w:p/>
    <w:p/>
    <w:p/>
    <w:tbl>
      <w:tblPr>
        <w:tblStyle w:val="9"/>
        <w:tblpPr w:leftFromText="180" w:rightFromText="180" w:vertAnchor="text" w:horzAnchor="page" w:tblpX="887" w:tblpY="262"/>
        <w:tblOverlap w:val="never"/>
        <w:tblW w:w="146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416"/>
        <w:gridCol w:w="222"/>
        <w:gridCol w:w="222"/>
        <w:gridCol w:w="1915"/>
        <w:gridCol w:w="1241"/>
        <w:gridCol w:w="1241"/>
        <w:gridCol w:w="1241"/>
        <w:gridCol w:w="1241"/>
        <w:gridCol w:w="1241"/>
        <w:gridCol w:w="16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4660" w:type="dxa"/>
            <w:gridSpan w:val="10"/>
            <w:tcBorders>
              <w:top w:val="nil"/>
              <w:left w:val="nil"/>
              <w:bottom w:val="nil"/>
              <w:right w:val="nil"/>
            </w:tcBorders>
            <w:shd w:val="clear" w:color="auto" w:fill="auto"/>
            <w:noWrap/>
            <w:vAlign w:val="bottom"/>
          </w:tcPr>
          <w:p>
            <w:pPr>
              <w:keepNext w:val="0"/>
              <w:keepLines w:val="0"/>
              <w:widowControl/>
              <w:suppressLineNumbers w:val="0"/>
              <w:jc w:val="both"/>
              <w:textAlignment w:val="bottom"/>
              <w:rPr>
                <w:rFonts w:hint="eastAsia" w:ascii="方正小标宋_GBK" w:hAnsi="方正小标宋_GBK" w:eastAsia="方正小标宋_GBK" w:cs="方正小标宋_GBK"/>
                <w:i w:val="0"/>
                <w:iCs w:val="0"/>
                <w:color w:val="000000"/>
                <w:kern w:val="0"/>
                <w:sz w:val="36"/>
                <w:szCs w:val="36"/>
                <w:u w:val="none"/>
                <w:lang w:val="en-US" w:eastAsia="zh-CN" w:bidi="ar"/>
              </w:rPr>
            </w:pPr>
          </w:p>
          <w:p>
            <w:pPr>
              <w:keepNext w:val="0"/>
              <w:keepLines w:val="0"/>
              <w:widowControl/>
              <w:suppressLineNumbers w:val="0"/>
              <w:jc w:val="center"/>
              <w:textAlignment w:val="bottom"/>
              <w:rPr>
                <w:rFonts w:hint="eastAsia" w:ascii="方正小标宋_GBK" w:hAnsi="方正小标宋_GBK" w:eastAsia="方正小标宋_GBK" w:cs="方正小标宋_GBK"/>
                <w:i w:val="0"/>
                <w:iCs w:val="0"/>
                <w:color w:val="000000"/>
                <w:kern w:val="0"/>
                <w:sz w:val="36"/>
                <w:szCs w:val="36"/>
                <w:u w:val="none"/>
                <w:lang w:val="en-US" w:eastAsia="zh-CN" w:bidi="ar"/>
              </w:rPr>
            </w:pPr>
          </w:p>
          <w:p>
            <w:pPr>
              <w:keepNext w:val="0"/>
              <w:keepLines w:val="0"/>
              <w:widowControl/>
              <w:suppressLineNumbers w:val="0"/>
              <w:jc w:val="center"/>
              <w:textAlignment w:val="bottom"/>
              <w:rPr>
                <w:rFonts w:hint="eastAsia" w:ascii="方正小标宋_GBK" w:hAnsi="方正小标宋_GBK" w:eastAsia="方正小标宋_GBK" w:cs="方正小标宋_GBK"/>
                <w:i w:val="0"/>
                <w:iCs w:val="0"/>
                <w:color w:val="000000"/>
                <w:kern w:val="0"/>
                <w:sz w:val="36"/>
                <w:szCs w:val="36"/>
                <w:u w:val="none"/>
                <w:lang w:val="en-US" w:eastAsia="zh-CN" w:bidi="ar"/>
              </w:rPr>
            </w:pPr>
          </w:p>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方正小标宋_GBK" w:hAnsi="方正小标宋_GBK" w:eastAsia="方正小标宋_GBK" w:cs="方正小标宋_GBK"/>
                <w:i w:val="0"/>
                <w:iCs w:val="0"/>
                <w:color w:val="000000"/>
                <w:kern w:val="0"/>
                <w:sz w:val="36"/>
                <w:szCs w:val="36"/>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4416"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91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4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4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4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4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4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680"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4416"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部门：岳阳市市场监督管理局城陵矶新港区分局</w:t>
            </w: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22"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91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4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4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4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4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41"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680"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7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     目</w:t>
            </w:r>
          </w:p>
        </w:tc>
        <w:tc>
          <w:tcPr>
            <w:tcW w:w="1241"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241"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3723"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68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860"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1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24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4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2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2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68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775"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  次</w:t>
            </w:r>
          </w:p>
        </w:tc>
        <w:tc>
          <w:tcPr>
            <w:tcW w:w="124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4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24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24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241"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8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775"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  计</w:t>
            </w: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0</w:t>
            </w: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0</w:t>
            </w: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0</w:t>
            </w: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0</w:t>
            </w: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0</w:t>
            </w:r>
          </w:p>
        </w:tc>
        <w:tc>
          <w:tcPr>
            <w:tcW w:w="168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lang w:val="en-US" w:eastAsia="zh-CN"/>
              </w:rPr>
            </w:pPr>
            <w:r>
              <w:rPr>
                <w:rFonts w:hint="eastAsia" w:ascii="宋体" w:hAnsi="宋体" w:eastAsia="宋体" w:cs="宋体"/>
                <w:b/>
                <w:bCs/>
                <w:i w:val="0"/>
                <w:iCs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915"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8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915"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8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915"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8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915"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8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915"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241"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1680"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4860"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9800" w:type="dxa"/>
            <w:gridSpan w:val="7"/>
            <w:tcBorders>
              <w:top w:val="nil"/>
              <w:left w:val="nil"/>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说明：我单位没有政府性基金收入，也没有使用政府性基金安排的支出，故本表无数据。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660" w:type="dxa"/>
            <w:gridSpan w:val="10"/>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660" w:type="dxa"/>
            <w:gridSpan w:val="10"/>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p>
        </w:tc>
      </w:tr>
    </w:tbl>
    <w:p/>
    <w:p/>
    <w:p/>
    <w:tbl>
      <w:tblPr>
        <w:tblStyle w:val="9"/>
        <w:tblpPr w:leftFromText="180" w:rightFromText="180" w:vertAnchor="text" w:horzAnchor="page" w:tblpX="662" w:tblpY="311"/>
        <w:tblOverlap w:val="never"/>
        <w:tblW w:w="153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26"/>
        <w:gridCol w:w="278"/>
        <w:gridCol w:w="278"/>
        <w:gridCol w:w="1260"/>
        <w:gridCol w:w="1014"/>
        <w:gridCol w:w="975"/>
        <w:gridCol w:w="59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21" w:hRule="atLeast"/>
        </w:trPr>
        <w:tc>
          <w:tcPr>
            <w:tcW w:w="15323" w:type="dxa"/>
            <w:gridSpan w:val="7"/>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方正小标宋_GBK" w:hAnsi="方正小标宋_GBK" w:eastAsia="方正小标宋_GBK" w:cs="方正小标宋_GBK"/>
                <w:i w:val="0"/>
                <w:iCs w:val="0"/>
                <w:color w:val="000000"/>
                <w:kern w:val="0"/>
                <w:sz w:val="36"/>
                <w:szCs w:val="36"/>
                <w:u w:val="none"/>
                <w:lang w:val="en-US" w:eastAsia="zh-CN" w:bidi="ar"/>
              </w:rPr>
            </w:pPr>
          </w:p>
          <w:p>
            <w:pPr>
              <w:keepNext w:val="0"/>
              <w:keepLines w:val="0"/>
              <w:widowControl/>
              <w:suppressLineNumbers w:val="0"/>
              <w:jc w:val="both"/>
              <w:textAlignment w:val="bottom"/>
              <w:rPr>
                <w:rFonts w:hint="eastAsia" w:ascii="方正小标宋_GBK" w:hAnsi="方正小标宋_GBK" w:eastAsia="方正小标宋_GBK" w:cs="方正小标宋_GBK"/>
                <w:i w:val="0"/>
                <w:iCs w:val="0"/>
                <w:color w:val="000000"/>
                <w:kern w:val="0"/>
                <w:sz w:val="36"/>
                <w:szCs w:val="36"/>
                <w:u w:val="none"/>
                <w:lang w:val="en-US" w:eastAsia="zh-CN" w:bidi="ar"/>
              </w:rPr>
            </w:pPr>
          </w:p>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方正小标宋_GBK" w:hAnsi="方正小标宋_GBK" w:eastAsia="方正小标宋_GBK" w:cs="方正小标宋_GBK"/>
                <w:i w:val="0"/>
                <w:iCs w:val="0"/>
                <w:color w:val="000000"/>
                <w:kern w:val="0"/>
                <w:sz w:val="36"/>
                <w:szCs w:val="36"/>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5526" w:type="dxa"/>
            <w:tcBorders>
              <w:top w:val="nil"/>
              <w:left w:val="nil"/>
              <w:bottom w:val="nil"/>
              <w:right w:val="nil"/>
            </w:tcBorders>
            <w:shd w:val="clear" w:color="auto" w:fill="auto"/>
            <w:noWrap/>
            <w:vAlign w:val="bottom"/>
          </w:tcPr>
          <w:p>
            <w:pPr>
              <w:rPr>
                <w:rFonts w:hint="eastAsia" w:ascii="Arial" w:hAnsi="Arial" w:cs="Arial"/>
                <w:i w:val="0"/>
                <w:iCs w:val="0"/>
                <w:color w:val="000000"/>
                <w:sz w:val="20"/>
                <w:szCs w:val="20"/>
                <w:u w:val="none"/>
              </w:rPr>
            </w:pPr>
          </w:p>
        </w:tc>
        <w:tc>
          <w:tcPr>
            <w:tcW w:w="27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7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6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1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97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5992"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5526"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部门：岳阳市市场监督管理局城陵矶新港区分局</w:t>
            </w:r>
          </w:p>
        </w:tc>
        <w:tc>
          <w:tcPr>
            <w:tcW w:w="27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278"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260"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1014"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975" w:type="dxa"/>
            <w:tcBorders>
              <w:top w:val="nil"/>
              <w:left w:val="nil"/>
              <w:bottom w:val="nil"/>
              <w:right w:val="nil"/>
            </w:tcBorders>
            <w:shd w:val="clear" w:color="auto" w:fill="auto"/>
            <w:noWrap/>
            <w:vAlign w:val="bottom"/>
          </w:tcPr>
          <w:p>
            <w:pPr>
              <w:rPr>
                <w:rFonts w:hint="default" w:ascii="Arial" w:hAnsi="Arial" w:cs="Arial"/>
                <w:i w:val="0"/>
                <w:iCs w:val="0"/>
                <w:color w:val="000000"/>
                <w:sz w:val="20"/>
                <w:szCs w:val="20"/>
                <w:u w:val="none"/>
              </w:rPr>
            </w:pPr>
          </w:p>
        </w:tc>
        <w:tc>
          <w:tcPr>
            <w:tcW w:w="5992"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34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7981"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1" w:hRule="atLeast"/>
        </w:trPr>
        <w:tc>
          <w:tcPr>
            <w:tcW w:w="6082"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功能分类科目编码</w:t>
            </w:r>
          </w:p>
        </w:tc>
        <w:tc>
          <w:tcPr>
            <w:tcW w:w="126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01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975"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5992"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1" w:hRule="atLeast"/>
        </w:trPr>
        <w:tc>
          <w:tcPr>
            <w:tcW w:w="6082"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6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1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75"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992"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 w:hRule="atLeast"/>
        </w:trPr>
        <w:tc>
          <w:tcPr>
            <w:tcW w:w="6082"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6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1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75"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992"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6" w:hRule="atLeast"/>
        </w:trPr>
        <w:tc>
          <w:tcPr>
            <w:tcW w:w="7342" w:type="dxa"/>
            <w:gridSpan w:val="4"/>
            <w:tcBorders>
              <w:top w:val="nil"/>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014"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975"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5992" w:type="dxa"/>
            <w:tcBorders>
              <w:top w:val="nil"/>
              <w:left w:val="nil"/>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6" w:hRule="atLeast"/>
        </w:trPr>
        <w:tc>
          <w:tcPr>
            <w:tcW w:w="7342"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01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2"/>
                <w:szCs w:val="22"/>
                <w:u w:val="none"/>
              </w:rPr>
            </w:pPr>
          </w:p>
        </w:tc>
        <w:tc>
          <w:tcPr>
            <w:tcW w:w="975"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59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6" w:hRule="atLeast"/>
        </w:trPr>
        <w:tc>
          <w:tcPr>
            <w:tcW w:w="6082"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260"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01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75"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9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6" w:hRule="atLeast"/>
        </w:trPr>
        <w:tc>
          <w:tcPr>
            <w:tcW w:w="6082"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260"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01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75"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9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6" w:hRule="atLeast"/>
        </w:trPr>
        <w:tc>
          <w:tcPr>
            <w:tcW w:w="6082"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260"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01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75"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9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6" w:hRule="atLeast"/>
        </w:trPr>
        <w:tc>
          <w:tcPr>
            <w:tcW w:w="6082"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260"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01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75"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9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6" w:hRule="atLeast"/>
        </w:trPr>
        <w:tc>
          <w:tcPr>
            <w:tcW w:w="6082"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260" w:type="dxa"/>
            <w:tcBorders>
              <w:top w:val="nil"/>
              <w:left w:val="nil"/>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1014"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c>
          <w:tcPr>
            <w:tcW w:w="975"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992" w:type="dxa"/>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6" w:hRule="atLeast"/>
        </w:trPr>
        <w:tc>
          <w:tcPr>
            <w:tcW w:w="6082" w:type="dxa"/>
            <w:gridSpan w:val="3"/>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9241" w:type="dxa"/>
            <w:gridSpan w:val="4"/>
            <w:tcBorders>
              <w:top w:val="nil"/>
              <w:left w:val="nil"/>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2"/>
                <w:szCs w:val="22"/>
                <w:u w:val="none"/>
                <w:lang w:val="en-US" w:eastAsia="zh-CN" w:bidi="ar"/>
              </w:rPr>
              <w:t>说明：我单位没有国有资本经营收入，也没有使用国有资本经营安排的支出，故本表无数据。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6" w:hRule="atLeast"/>
        </w:trPr>
        <w:tc>
          <w:tcPr>
            <w:tcW w:w="8356" w:type="dxa"/>
            <w:gridSpan w:val="5"/>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注：本表反映部门本年度国有资本经营预算财政拨款收入、支出及结转和结余情况。</w:t>
            </w:r>
          </w:p>
        </w:tc>
        <w:tc>
          <w:tcPr>
            <w:tcW w:w="975"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5992" w:type="dxa"/>
            <w:tcBorders>
              <w:top w:val="nil"/>
              <w:left w:val="nil"/>
              <w:bottom w:val="nil"/>
              <w:right w:val="nil"/>
            </w:tcBorders>
            <w:shd w:val="clear" w:color="auto" w:fill="auto"/>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6" w:hRule="atLeast"/>
        </w:trPr>
        <w:tc>
          <w:tcPr>
            <w:tcW w:w="15323" w:type="dxa"/>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p>
        </w:tc>
      </w:tr>
    </w:tbl>
    <w:p/>
    <w:sectPr>
      <w:pgSz w:w="16838" w:h="11906" w:orient="landscape"/>
      <w:pgMar w:top="0" w:right="720" w:bottom="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zZmNjMmE1MjJjOTYzMmI5NzNiMWJmOTkxZjljYTI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91A91"/>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2B4398D"/>
    <w:rsid w:val="03B840BC"/>
    <w:rsid w:val="05633A58"/>
    <w:rsid w:val="05737123"/>
    <w:rsid w:val="0580501B"/>
    <w:rsid w:val="06B411F0"/>
    <w:rsid w:val="0767791B"/>
    <w:rsid w:val="07A80859"/>
    <w:rsid w:val="083D3697"/>
    <w:rsid w:val="08602EE2"/>
    <w:rsid w:val="086B093E"/>
    <w:rsid w:val="087403E0"/>
    <w:rsid w:val="0A69568D"/>
    <w:rsid w:val="0BE56081"/>
    <w:rsid w:val="0EC458BE"/>
    <w:rsid w:val="0F384BB8"/>
    <w:rsid w:val="0F62485F"/>
    <w:rsid w:val="1092303F"/>
    <w:rsid w:val="10AB793D"/>
    <w:rsid w:val="10B923DA"/>
    <w:rsid w:val="10BE2E9B"/>
    <w:rsid w:val="10DC61DD"/>
    <w:rsid w:val="11BA37C9"/>
    <w:rsid w:val="12B96010"/>
    <w:rsid w:val="1399374C"/>
    <w:rsid w:val="13BE003E"/>
    <w:rsid w:val="17A87124"/>
    <w:rsid w:val="18356497"/>
    <w:rsid w:val="18BE1119"/>
    <w:rsid w:val="1911527D"/>
    <w:rsid w:val="1A1F735A"/>
    <w:rsid w:val="1AF94D0E"/>
    <w:rsid w:val="1C480A68"/>
    <w:rsid w:val="1D0B2D51"/>
    <w:rsid w:val="1D286FEB"/>
    <w:rsid w:val="1D5E1C8E"/>
    <w:rsid w:val="1F183B24"/>
    <w:rsid w:val="2059663D"/>
    <w:rsid w:val="20AA0536"/>
    <w:rsid w:val="23825E4E"/>
    <w:rsid w:val="2423153B"/>
    <w:rsid w:val="24763D61"/>
    <w:rsid w:val="27DB542D"/>
    <w:rsid w:val="28BF4045"/>
    <w:rsid w:val="28E31299"/>
    <w:rsid w:val="29044F3B"/>
    <w:rsid w:val="29BB5D72"/>
    <w:rsid w:val="2C862667"/>
    <w:rsid w:val="310D3FA6"/>
    <w:rsid w:val="317F0EE1"/>
    <w:rsid w:val="31E3230A"/>
    <w:rsid w:val="3243337E"/>
    <w:rsid w:val="333241ED"/>
    <w:rsid w:val="33802506"/>
    <w:rsid w:val="33EA3E24"/>
    <w:rsid w:val="340F79DE"/>
    <w:rsid w:val="35B2556B"/>
    <w:rsid w:val="365B29E5"/>
    <w:rsid w:val="366364DD"/>
    <w:rsid w:val="36657792"/>
    <w:rsid w:val="368D6359"/>
    <w:rsid w:val="36AC10EC"/>
    <w:rsid w:val="370B6762"/>
    <w:rsid w:val="37923AA4"/>
    <w:rsid w:val="37EA54D4"/>
    <w:rsid w:val="3A5F274A"/>
    <w:rsid w:val="3B334302"/>
    <w:rsid w:val="3CAE7EC4"/>
    <w:rsid w:val="3E8E13FB"/>
    <w:rsid w:val="41711D42"/>
    <w:rsid w:val="421B33FA"/>
    <w:rsid w:val="4268268D"/>
    <w:rsid w:val="434A043B"/>
    <w:rsid w:val="45806396"/>
    <w:rsid w:val="45F9639D"/>
    <w:rsid w:val="47374C7C"/>
    <w:rsid w:val="47807ED7"/>
    <w:rsid w:val="47A35324"/>
    <w:rsid w:val="4851740F"/>
    <w:rsid w:val="48961A2D"/>
    <w:rsid w:val="48ED43E7"/>
    <w:rsid w:val="49983144"/>
    <w:rsid w:val="49A5461D"/>
    <w:rsid w:val="4A981A8C"/>
    <w:rsid w:val="4B7046FA"/>
    <w:rsid w:val="4CE40DE8"/>
    <w:rsid w:val="4D4F06AA"/>
    <w:rsid w:val="4DCB2620"/>
    <w:rsid w:val="4E2E1765"/>
    <w:rsid w:val="4EC54E1A"/>
    <w:rsid w:val="4F014138"/>
    <w:rsid w:val="4FB91176"/>
    <w:rsid w:val="50164F2D"/>
    <w:rsid w:val="505301A3"/>
    <w:rsid w:val="513B2E22"/>
    <w:rsid w:val="55322ADD"/>
    <w:rsid w:val="56504234"/>
    <w:rsid w:val="57CF0AB7"/>
    <w:rsid w:val="580D1551"/>
    <w:rsid w:val="5A3279CA"/>
    <w:rsid w:val="5A7723FC"/>
    <w:rsid w:val="5C234678"/>
    <w:rsid w:val="5DE313F2"/>
    <w:rsid w:val="5E4775F9"/>
    <w:rsid w:val="5E64648F"/>
    <w:rsid w:val="608F3042"/>
    <w:rsid w:val="60A907EA"/>
    <w:rsid w:val="60C56EFB"/>
    <w:rsid w:val="6145544E"/>
    <w:rsid w:val="61B30BB1"/>
    <w:rsid w:val="62955BA4"/>
    <w:rsid w:val="63260125"/>
    <w:rsid w:val="635307EE"/>
    <w:rsid w:val="643C2F76"/>
    <w:rsid w:val="65AA41F4"/>
    <w:rsid w:val="65BD63F3"/>
    <w:rsid w:val="661D0AE3"/>
    <w:rsid w:val="665A1E94"/>
    <w:rsid w:val="67087B42"/>
    <w:rsid w:val="67F95E9A"/>
    <w:rsid w:val="6CC240A9"/>
    <w:rsid w:val="6D572AAF"/>
    <w:rsid w:val="6E0F612B"/>
    <w:rsid w:val="6FF46EB5"/>
    <w:rsid w:val="71477561"/>
    <w:rsid w:val="717A163C"/>
    <w:rsid w:val="720055A6"/>
    <w:rsid w:val="72B12ECE"/>
    <w:rsid w:val="75D2566B"/>
    <w:rsid w:val="78B6564F"/>
    <w:rsid w:val="7A347CC3"/>
    <w:rsid w:val="7ADE75AE"/>
    <w:rsid w:val="7BD177F5"/>
    <w:rsid w:val="7CDB7433"/>
    <w:rsid w:val="7F4F222F"/>
    <w:rsid w:val="7F596D35"/>
    <w:rsid w:val="B499751E"/>
    <w:rsid w:val="FBB3B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等线 Light" w:hAnsi="等线 Light" w:eastAsia="等线 Light"/>
      <w:b/>
      <w:sz w:val="28"/>
      <w:szCs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unhideWhenUsed/>
    <w:qFormat/>
    <w:uiPriority w:val="99"/>
    <w:pPr>
      <w:spacing w:line="540" w:lineRule="exact"/>
      <w:ind w:firstLine="562" w:firstLineChars="200"/>
    </w:pPr>
    <w:rPr>
      <w:rFonts w:ascii="仿宋_GB2312"/>
      <w:b/>
      <w:bCs/>
      <w:sz w:val="28"/>
      <w:szCs w:val="28"/>
    </w:rPr>
  </w:style>
  <w:style w:type="paragraph" w:styleId="4">
    <w:name w:val="Balloon Text"/>
    <w:basedOn w:val="1"/>
    <w:link w:val="15"/>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hAnsi="宋体"/>
      <w:kern w:val="0"/>
      <w:sz w:val="24"/>
      <w:szCs w:val="24"/>
    </w:rPr>
  </w:style>
  <w:style w:type="paragraph" w:styleId="8">
    <w:name w:val="Body Text First Indent 2"/>
    <w:basedOn w:val="3"/>
    <w:qFormat/>
    <w:uiPriority w:val="0"/>
    <w:pPr>
      <w:ind w:firstLine="420" w:firstLineChars="200"/>
    </w:pPr>
  </w:style>
  <w:style w:type="character" w:customStyle="1" w:styleId="11">
    <w:name w:val="页眉 Char"/>
    <w:basedOn w:val="10"/>
    <w:link w:val="6"/>
    <w:qFormat/>
    <w:uiPriority w:val="99"/>
    <w:rPr>
      <w:sz w:val="18"/>
      <w:szCs w:val="18"/>
    </w:rPr>
  </w:style>
  <w:style w:type="character" w:customStyle="1" w:styleId="12">
    <w:name w:val="页脚 Char"/>
    <w:basedOn w:val="10"/>
    <w:link w:val="5"/>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30</Pages>
  <Words>9620</Words>
  <Characters>11506</Characters>
  <Lines>69</Lines>
  <Paragraphs>19</Paragraphs>
  <TotalTime>0</TotalTime>
  <ScaleCrop>false</ScaleCrop>
  <LinksUpToDate>false</LinksUpToDate>
  <CharactersWithSpaces>11876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2020-07-02T18:32:00Z</dcterms:created>
  <dc:creator>李航 null</dc:creator>
  <cp:lastModifiedBy>49266_000</cp:lastModifiedBy>
  <cp:lastPrinted>2022-07-28T04:55:00Z</cp:lastPrinted>
  <dcterms:modified xsi:type="dcterms:W3CDTF">2023-09-23T05:15:02Z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2555CAE69B3D4CE78F1580C0EF6F9DE6</vt:lpwstr>
  </property>
</Properties>
</file>