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shd w:val="clear" w:color="auto" w:fill="auto"/>
            <w:vAlign w:val="center"/>
          </w:tcPr>
          <w:p>
            <w:pPr>
              <w:widowControl/>
              <w:jc w:val="center"/>
              <w:rPr>
                <w:rFonts w:ascii="方正小标宋_GBK" w:hAnsi="宋体" w:eastAsia="方正小标宋_GBK" w:cs="宋体"/>
                <w:color w:val="000000"/>
                <w:kern w:val="0"/>
                <w:sz w:val="40"/>
                <w:szCs w:val="40"/>
              </w:rPr>
            </w:pPr>
            <w:r>
              <w:rPr>
                <w:rFonts w:hint="eastAsia" w:ascii="方正小标宋_GBK" w:hAnsi="宋体" w:eastAsia="方正小标宋_GBK" w:cs="宋体"/>
                <w:color w:val="000000"/>
                <w:kern w:val="0"/>
                <w:sz w:val="40"/>
                <w:szCs w:val="40"/>
              </w:rPr>
              <w:t>岳阳市市场监督管理局本级2022年度单位预算</w:t>
            </w:r>
          </w:p>
        </w:tc>
      </w:tr>
      <w:tr>
        <w:tblPrEx>
          <w:tblCellMar>
            <w:top w:w="0" w:type="dxa"/>
            <w:left w:w="108" w:type="dxa"/>
            <w:bottom w:w="0" w:type="dxa"/>
            <w:right w:w="108" w:type="dxa"/>
          </w:tblCellMar>
        </w:tblPrEx>
        <w:trPr>
          <w:trHeight w:val="642"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  2022年单位预算说明</w:t>
            </w:r>
          </w:p>
        </w:tc>
      </w:tr>
      <w:tr>
        <w:tblPrEx>
          <w:tblCellMar>
            <w:top w:w="0" w:type="dxa"/>
            <w:left w:w="108" w:type="dxa"/>
            <w:bottom w:w="0" w:type="dxa"/>
            <w:right w:w="108" w:type="dxa"/>
          </w:tblCellMar>
        </w:tblPrEx>
        <w:trPr>
          <w:trHeight w:val="6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  2022年单位预算公开表格</w:t>
            </w:r>
          </w:p>
        </w:tc>
      </w:tr>
      <w:tr>
        <w:tblPrEx>
          <w:tblCellMar>
            <w:top w:w="0" w:type="dxa"/>
            <w:left w:w="108" w:type="dxa"/>
            <w:bottom w:w="0" w:type="dxa"/>
            <w:right w:w="108" w:type="dxa"/>
          </w:tblCellMar>
        </w:tblPrEx>
        <w:trPr>
          <w:trHeight w:val="4482" w:hRule="atLeast"/>
        </w:trPr>
        <w:tc>
          <w:tcPr>
            <w:tcW w:w="5000" w:type="pct"/>
            <w:vMerge w:val="restart"/>
            <w:tcBorders>
              <w:top w:val="nil"/>
              <w:left w:val="nil"/>
              <w:bottom w:val="nil"/>
              <w:right w:val="nil"/>
            </w:tcBorders>
            <w:shd w:val="clear" w:color="auto" w:fill="auto"/>
            <w:vAlign w:val="center"/>
          </w:tcPr>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val="en-US"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val="en-US" w:eastAsia="zh-CN"/>
              </w:rPr>
              <w:t>公用</w:t>
            </w:r>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widowControl/>
              <w:numPr>
                <w:ilvl w:val="0"/>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rPr>
              <w:t>23、一般工作预算基本支出表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482"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  2022年单位预算说明</w:t>
            </w:r>
          </w:p>
        </w:tc>
      </w:tr>
      <w:tr>
        <w:tblPrEx>
          <w:tblCellMar>
            <w:top w:w="0" w:type="dxa"/>
            <w:left w:w="108" w:type="dxa"/>
            <w:bottom w:w="0" w:type="dxa"/>
            <w:right w:w="108" w:type="dxa"/>
          </w:tblCellMar>
        </w:tblPrEx>
        <w:trPr>
          <w:trHeight w:val="2625"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一、单位基本概况</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（一）职能职责</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我局三定方案职能具体如下：（一）负责市场综合监督管理。（二）负责市场主体统一登记注册工作。（三）负责组织指导市场监管综合执法工作。（四）依委托开展反垄断统一执法调查工作。（五）负责监督管理市场秩序。（六）负责宏观质量管理。（七）负责产品质量安全监督管理。（八）负责特种设备安全监督管理。（九）负责食品安全监督管理综合协调。（十）负责食品安全监督管理。（十一）负责统一管理计量工作。（十二）负责统一管理标准化工作。（十三）负责统一管理检验检测工作。（十四）负责统一管理、监督和综合协调认证认可工作。 （十五）负责市场监督管理、知识产权领域科技和信息化建设、新闻宣传、对外交流与合作。（十六）负责实施知识产权战略，推进知识产权强市建设。（十七）负责保护知识产权。（十八）负责知识产权创造运用。（十九）负责组织开展有关商品和服务领域消费维权工 作，查处假冒伪劣等违法行为，指导消费者咨询、投诉、举报 受理、处理和网络体系建设等工作，保护经营者、消费者合法 权益。（二十）负责药品（含中药、民族药，下同）、医疗器械 和化妆品安全监督管理。贯彻执行国家、省关于药品、医疗器 械、化妆品安全监督管理的法律、法规和规章，拟订地方性政 策规划并组织实施。（二十一）监督实施药品、医疗器械、化妆品标准和分类 管理制度，配合有关部门实施国家基本药物制度。（二十二）负责权限范围内药品、医疗器械和化妆品质量 管理。监督实施药品、医疗器械经营质量管理规范，监督实施 化妆品经营、使用卫生标准和技术规范。（二十三）负责权限范围内药品、医疗器械和化妆品上市后风险管理。（二十四）负责组织实施药品、医疗器械和化妆品监督检查。（二十五）负责指导市县市场监督管理部门承担的药品、医疗器械、化妆品有关监督管理工作。（二十六）按规定要求，承担对口事业服务机构业务工作 的指导、协调和监督职责。（二十七）完成市委、市政府交办的其他任务。</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（二）机构设置</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根据编委核定，我局设置机构43个，其中内设机构33个，副处级综合行政执法支队1个，直属事业单位4个，直属分局1个。</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内设科室分别是办公室、综合规划和科技信息化科、政策法规科、信用监督管理科、网络交易监督管理科、广告监督管理科、登记注册科、市场规范管理科、反不正当竞争和反垄断科、价格监督管理科、投诉举报科、质量发展科、产品质量安全监督管理科、食品安全协调科、食品生产安全监督管理科、食品经营安全监督管理科、特殊食品和化妆品安全监督管理科、餐饮食品安全监督管理科、抽检监测管理科、药品生产指导协调科、药品流通监督管理科、医疗器械监督管理科、特种设备安全监察科、计量科、标准化科、认证认可监督管理科、知识产权运用促进科、知识产权保护科、消费者权益保护科、财务和审计科、人事科、机关党委（纪委）、离退休人员管理服务科。</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副处级综合行政执法支队是岳阳市市场监管综合行政执法支队。</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直属事业单位为岳阳市检验监检测中心，岳阳市食品药品审评认证与不良反应监测中心，岳阳市市场监督管理局机关事务管理中心，岳阳市消费者维权服务中心。</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直属分局是岳阳市市场监督管理局城陵矶新港区分局。</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截至上年底，本单位共有在职在编人员200名，退休人员185名，离休人员3名。</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二、单位预算单位构成</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本单位预算仅含本级预算。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三、单位收支总体情况</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22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包括一般公共预算、政府性基金、国有资本经营预算等财政拨款收入，以及经营收入、事业收入等单位资金。2022年本单位收入预算4991.44万元，其中，一般公共预算拨款4991.44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ind w:firstLine="280" w:firstLineChars="1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收入较去年增加501.21万元，主要是因为增加了综合绩效奖和平安建设奖等专项。</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ind w:firstLine="56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本单位支出预算4991.44万元，其中，一般公共服务支出4386.65万元，占比87.88%，社会保障和就业支出283.29万元，占比5.68%，卫生健康支出152.62万元，占比3.06%，住房保障支出168.88万元，占比3.38%。支出较去年增加501.21万元，其中基本支出减少113.87万元，项目支出增加615.08万元。其中基本支出较上年减少主要是因为预算在职人员比上年减少13人，项目支出增加主要是因为增加了综合绩效奖和平安建设奖等专项。</w:t>
            </w:r>
          </w:p>
          <w:p>
            <w:pPr>
              <w:widowControl/>
              <w:ind w:firstLine="560"/>
              <w:jc w:val="left"/>
              <w:rPr>
                <w:rFonts w:hint="eastAsia" w:ascii="仿宋_GB2312" w:hAnsi="宋体" w:eastAsia="仿宋_GB2312" w:cs="宋体"/>
                <w:kern w:val="0"/>
                <w:sz w:val="28"/>
                <w:szCs w:val="28"/>
                <w:lang w:eastAsia="zh-CN"/>
              </w:rPr>
            </w:pPr>
            <w:r>
              <w:rPr>
                <w:rFonts w:hint="eastAsia" w:ascii="仿宋_GB2312" w:hAnsi="宋体" w:eastAsia="仿宋_GB2312" w:cs="宋体"/>
                <w:kern w:val="0"/>
                <w:sz w:val="28"/>
                <w:szCs w:val="28"/>
                <w:lang w:eastAsia="zh-CN"/>
              </w:rPr>
              <w:t>说明：</w:t>
            </w:r>
            <w:r>
              <w:rPr>
                <w:rFonts w:hint="eastAsia" w:ascii="仿宋_GB2312" w:hAnsi="宋体" w:eastAsia="仿宋_GB2312" w:cs="宋体"/>
                <w:kern w:val="0"/>
                <w:sz w:val="28"/>
                <w:szCs w:val="28"/>
              </w:rPr>
              <w:t>2022年预算公开文档第三大点（对应表3）、第四大点（对应表7）中的金额和百分比，由于预算编制时金额明细到了“分”，而公开表格显示和公开文档取数只到“百元”，可能导致0.01的尾数差异。</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blPrEx>
          <w:tblCellMar>
            <w:top w:w="0" w:type="dxa"/>
            <w:left w:w="108" w:type="dxa"/>
            <w:bottom w:w="0" w:type="dxa"/>
            <w:right w:w="108" w:type="dxa"/>
          </w:tblCellMar>
        </w:tblPrEx>
        <w:trPr>
          <w:trHeight w:val="126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本单位一般公共预算拨款支出预算4991.44万元，其中，一般公共服务支出4386.65万元，占比87.88%，社会保障和就业支出283.29万元，占比5.68%，卫生健康支出152.62万元，占比3.06%，住房保障支出168.88万元，占比3.38%。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一）基本支出：2022年基本支出年初预算数为2534.36万元（数据来源见表7），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二）项目支出：2022年项目支出年初预算数为2457.08万元（数据来源见表20），是指单位为完成特定行政工作任务或事业发展目标而发生的支出，包括有关业务工作经费、运行维护经费等。其中：业务工作经费支出</w:t>
            </w:r>
            <w:r>
              <w:rPr>
                <w:rFonts w:hint="eastAsia" w:ascii="仿宋_GB2312" w:hAnsi="宋体" w:eastAsia="仿宋_GB2312" w:cs="宋体"/>
                <w:kern w:val="0"/>
                <w:sz w:val="28"/>
                <w:szCs w:val="28"/>
                <w:lang w:val="en-US" w:eastAsia="zh-CN"/>
              </w:rPr>
              <w:t>1141.80</w:t>
            </w:r>
            <w:r>
              <w:rPr>
                <w:rFonts w:hint="eastAsia" w:ascii="仿宋_GB2312" w:hAnsi="宋体" w:eastAsia="仿宋_GB2312" w:cs="宋体"/>
                <w:kern w:val="0"/>
                <w:sz w:val="28"/>
                <w:szCs w:val="28"/>
              </w:rPr>
              <w:t>万元，主要用于满足局机关及直属事业单位日常业务工作经费需求，组织实施质量强市战略、标准化战略；保障市场监督检查、执法办案、认证认可、检验检测、优化服务等各项日常业务工作</w:t>
            </w:r>
            <w:r>
              <w:rPr>
                <w:rFonts w:hint="eastAsia" w:ascii="仿宋_GB2312" w:hAnsi="宋体" w:eastAsia="仿宋_GB2312" w:cs="宋体"/>
                <w:kern w:val="0"/>
                <w:sz w:val="28"/>
                <w:szCs w:val="28"/>
                <w:lang w:eastAsia="zh-CN"/>
              </w:rPr>
              <w:t>，其中办案费</w:t>
            </w:r>
            <w:r>
              <w:rPr>
                <w:rFonts w:hint="eastAsia" w:ascii="仿宋_GB2312" w:hAnsi="宋体" w:eastAsia="仿宋_GB2312" w:cs="宋体"/>
                <w:kern w:val="0"/>
                <w:sz w:val="28"/>
                <w:szCs w:val="28"/>
                <w:lang w:val="en-US" w:eastAsia="zh-CN"/>
              </w:rPr>
              <w:t>326万元，非税收入征收成本306.40万元，市场主体管理232.40万元，特种设备安全监管27万元，质量基础250万元</w:t>
            </w:r>
            <w:r>
              <w:rPr>
                <w:rFonts w:hint="eastAsia" w:ascii="仿宋_GB2312" w:hAnsi="宋体" w:eastAsia="仿宋_GB2312" w:cs="宋体"/>
                <w:kern w:val="0"/>
                <w:sz w:val="28"/>
                <w:szCs w:val="28"/>
              </w:rPr>
              <w:t>；运行维护经费</w:t>
            </w:r>
            <w:r>
              <w:rPr>
                <w:rFonts w:hint="eastAsia" w:ascii="仿宋_GB2312" w:hAnsi="宋体" w:eastAsia="仿宋_GB2312" w:cs="宋体"/>
                <w:kern w:val="0"/>
                <w:sz w:val="28"/>
                <w:szCs w:val="28"/>
                <w:lang w:val="en-US" w:eastAsia="zh-CN"/>
              </w:rPr>
              <w:t>1315.28</w:t>
            </w:r>
            <w:r>
              <w:rPr>
                <w:rFonts w:hint="eastAsia" w:ascii="仿宋_GB2312" w:hAnsi="宋体" w:eastAsia="仿宋_GB2312" w:cs="宋体"/>
                <w:kern w:val="0"/>
                <w:sz w:val="28"/>
                <w:szCs w:val="28"/>
              </w:rPr>
              <w:t>万元，主要用于保障单位正常运转，保障工会经费补助、伙食补助、物业服务补贴、综合建设奖和平安岳阳建设奖励经费，为日常市场监督检查、执法办案、认证认可、检验检测、优化服务等各项业务工作的开展提供后勤保障服务以及推进相关项目建设</w:t>
            </w:r>
            <w:r>
              <w:rPr>
                <w:rFonts w:hint="eastAsia" w:ascii="仿宋_GB2312" w:hAnsi="宋体" w:eastAsia="仿宋_GB2312" w:cs="宋体"/>
                <w:kern w:val="0"/>
                <w:sz w:val="28"/>
                <w:szCs w:val="28"/>
                <w:lang w:eastAsia="zh-CN"/>
              </w:rPr>
              <w:t>，其中工</w:t>
            </w:r>
            <w:r>
              <w:rPr>
                <w:rFonts w:hint="eastAsia" w:ascii="仿宋_GB2312" w:hAnsi="宋体" w:eastAsia="仿宋_GB2312" w:cs="宋体"/>
                <w:kern w:val="0"/>
                <w:sz w:val="28"/>
                <w:szCs w:val="28"/>
              </w:rPr>
              <w:t>会经费补助</w:t>
            </w:r>
            <w:r>
              <w:rPr>
                <w:rFonts w:hint="eastAsia" w:ascii="仿宋_GB2312" w:hAnsi="宋体" w:eastAsia="仿宋_GB2312" w:cs="宋体"/>
                <w:kern w:val="0"/>
                <w:sz w:val="28"/>
                <w:szCs w:val="28"/>
                <w:lang w:val="en-US" w:eastAsia="zh-CN"/>
              </w:rPr>
              <w:t>116.40万元，</w:t>
            </w:r>
            <w:r>
              <w:rPr>
                <w:rFonts w:hint="eastAsia" w:ascii="仿宋_GB2312" w:hAnsi="宋体" w:eastAsia="仿宋_GB2312" w:cs="宋体"/>
                <w:kern w:val="0"/>
                <w:sz w:val="28"/>
                <w:szCs w:val="28"/>
              </w:rPr>
              <w:t>伙食补助</w:t>
            </w:r>
            <w:r>
              <w:rPr>
                <w:rFonts w:hint="eastAsia" w:ascii="仿宋_GB2312" w:hAnsi="宋体" w:eastAsia="仿宋_GB2312" w:cs="宋体"/>
                <w:kern w:val="0"/>
                <w:sz w:val="28"/>
                <w:szCs w:val="28"/>
                <w:lang w:val="en-US" w:eastAsia="zh-CN"/>
              </w:rPr>
              <w:t>155.20万元，</w:t>
            </w:r>
            <w:r>
              <w:rPr>
                <w:rFonts w:hint="eastAsia" w:ascii="仿宋_GB2312" w:hAnsi="宋体" w:eastAsia="仿宋_GB2312" w:cs="宋体"/>
                <w:kern w:val="0"/>
                <w:sz w:val="28"/>
                <w:szCs w:val="28"/>
              </w:rPr>
              <w:t>物业服务补贴</w:t>
            </w:r>
            <w:r>
              <w:rPr>
                <w:rFonts w:hint="eastAsia" w:ascii="仿宋_GB2312" w:hAnsi="宋体" w:eastAsia="仿宋_GB2312" w:cs="宋体"/>
                <w:kern w:val="0"/>
                <w:sz w:val="28"/>
                <w:szCs w:val="28"/>
                <w:lang w:val="en-US" w:eastAsia="zh-CN"/>
              </w:rPr>
              <w:t>139.68万元，</w:t>
            </w:r>
            <w:r>
              <w:rPr>
                <w:rFonts w:hint="eastAsia" w:ascii="仿宋_GB2312" w:hAnsi="宋体" w:eastAsia="仿宋_GB2312" w:cs="宋体"/>
                <w:kern w:val="0"/>
                <w:sz w:val="28"/>
                <w:szCs w:val="28"/>
              </w:rPr>
              <w:t>综合建设奖和平安岳阳建设奖励经费</w:t>
            </w:r>
            <w:r>
              <w:rPr>
                <w:rFonts w:hint="eastAsia" w:ascii="仿宋_GB2312" w:hAnsi="宋体" w:eastAsia="仿宋_GB2312" w:cs="宋体"/>
                <w:kern w:val="0"/>
                <w:sz w:val="28"/>
                <w:szCs w:val="28"/>
                <w:lang w:val="en-US" w:eastAsia="zh-CN"/>
              </w:rPr>
              <w:t>776万元，办公用房购置30万元，办公用房修缮98万元</w:t>
            </w:r>
            <w:r>
              <w:rPr>
                <w:rFonts w:hint="eastAsia" w:ascii="仿宋_GB2312" w:hAnsi="宋体" w:eastAsia="仿宋_GB2312" w:cs="宋体"/>
                <w:kern w:val="0"/>
                <w:sz w:val="28"/>
                <w:szCs w:val="28"/>
              </w:rPr>
              <w:t>。</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2022年度本单位无政府性基金安排的支出，所以公开的附件15-17（政府性基金预算）为空。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color w:val="FF0000"/>
                <w:kern w:val="0"/>
                <w:sz w:val="28"/>
                <w:szCs w:val="28"/>
                <w:lang w:eastAsia="zh-CN"/>
              </w:rPr>
            </w:pPr>
            <w:r>
              <w:rPr>
                <w:rFonts w:hint="eastAsia" w:ascii="仿宋_GB2312" w:hAnsi="宋体" w:eastAsia="仿宋_GB2312" w:cs="宋体"/>
                <w:color w:val="FF0000"/>
                <w:kern w:val="0"/>
                <w:sz w:val="28"/>
                <w:szCs w:val="28"/>
              </w:rPr>
              <w:t xml:space="preserve">   </w:t>
            </w:r>
            <w:r>
              <w:rPr>
                <w:rFonts w:hint="eastAsia" w:ascii="仿宋_GB2312" w:hAnsi="宋体" w:eastAsia="仿宋_GB2312" w:cs="宋体"/>
                <w:color w:val="auto"/>
                <w:kern w:val="0"/>
                <w:sz w:val="28"/>
                <w:szCs w:val="28"/>
              </w:rPr>
              <w:t xml:space="preserve"> 2022年本单位的机关运行经费314.5万元（数据来源见表12），比上一年减少</w:t>
            </w:r>
            <w:r>
              <w:rPr>
                <w:rFonts w:hint="eastAsia" w:ascii="仿宋_GB2312" w:hAnsi="宋体" w:eastAsia="仿宋_GB2312" w:cs="宋体"/>
                <w:color w:val="auto"/>
                <w:kern w:val="0"/>
                <w:sz w:val="28"/>
                <w:szCs w:val="28"/>
                <w:lang w:val="en-US" w:eastAsia="zh-CN"/>
              </w:rPr>
              <w:t>161.10</w:t>
            </w:r>
            <w:r>
              <w:rPr>
                <w:rFonts w:hint="eastAsia" w:ascii="仿宋_GB2312" w:hAnsi="宋体" w:eastAsia="仿宋_GB2312" w:cs="宋体"/>
                <w:color w:val="auto"/>
                <w:kern w:val="0"/>
                <w:sz w:val="28"/>
                <w:szCs w:val="28"/>
              </w:rPr>
              <w:t>万元，降低</w:t>
            </w:r>
            <w:r>
              <w:rPr>
                <w:rFonts w:hint="eastAsia" w:ascii="仿宋_GB2312" w:hAnsi="宋体" w:eastAsia="仿宋_GB2312" w:cs="宋体"/>
                <w:color w:val="auto"/>
                <w:kern w:val="0"/>
                <w:sz w:val="28"/>
                <w:szCs w:val="28"/>
                <w:lang w:val="en-US" w:eastAsia="zh-CN"/>
              </w:rPr>
              <w:t>33</w:t>
            </w:r>
            <w:r>
              <w:rPr>
                <w:rFonts w:hint="eastAsia" w:ascii="仿宋_GB2312" w:hAnsi="宋体" w:eastAsia="仿宋_GB2312" w:cs="宋体"/>
                <w:color w:val="auto"/>
                <w:kern w:val="0"/>
                <w:sz w:val="28"/>
                <w:szCs w:val="28"/>
              </w:rPr>
              <w:t>%。主要原因是</w:t>
            </w:r>
            <w:r>
              <w:rPr>
                <w:rFonts w:hint="eastAsia" w:ascii="仿宋_GB2312" w:hAnsi="宋体" w:eastAsia="仿宋_GB2312" w:cs="宋体"/>
                <w:color w:val="auto"/>
                <w:kern w:val="0"/>
                <w:sz w:val="28"/>
                <w:szCs w:val="28"/>
                <w:lang w:eastAsia="zh-CN"/>
              </w:rPr>
              <w:t>车补预算编制纳入了人员经费。</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三公”经费预算数67万元（数据来源见表14），其中，公务接待费25万元，因公出国（境）费0万元，公务用车购置及运行费42万元，其中公务用车购置费0万元，公务用车运行费42万元。比上一年减少30.42万元，降低31.23%，主要原因是招待费预算比上年下降了33.42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培训费预算19万元，无会议费预算（数据来源见表13会议费+培训费），拟开展55次培训，人数5268人，内容为廉政建设、党史党务知识、新闻宣传、队伍建设、网络监管、知识产权、食品药品监管、广告管理等；未计划举办节庆、晚会、论坛、赛事活动。</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本单位2022年政府采购预算总额699万元，其中工程类172万元，货物类56万元，服务类471万元。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ind w:firstLine="420" w:firstLineChars="15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截至上年底，本单位共有车辆14辆，其中领导干部用车0辆，一般公务用车14辆，其他用车0辆；单位价值50万元以上通用设备0台，单位价值100万元以上专用设备0台。</w:t>
            </w:r>
          </w:p>
          <w:p>
            <w:pPr>
              <w:widowControl/>
              <w:ind w:firstLine="420" w:firstLineChars="15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2022年无报废处置公务用车辆，拟新增配置公务用车1辆，为执法执勤用车辆，主要用于执法执勤，资金来源为罚没收入征收可用收入。</w:t>
            </w:r>
          </w:p>
          <w:p>
            <w:pPr>
              <w:widowControl/>
              <w:ind w:firstLine="280" w:firstLineChars="1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2022年拟新增配备领导干部用车0辆，一般公务用车1辆，其他用车0辆，未计划新增配备单位价值50万元以上通用设备和单位价值100万元以上专用设备。</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本单位所有支出实行绩效目标管理。纳入2022年部门整体支出绩效目标的金额为4991.44万元，其中，基本支出2534.36万元，项目支出2457.08万元，详见文尾附表中单位预算公开表格的表21-22。</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90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  2022年单位预算公开表格</w:t>
            </w:r>
          </w:p>
        </w:tc>
      </w:tr>
      <w:tr>
        <w:tblPrEx>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val="en-US"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val="en-US" w:eastAsia="zh-CN"/>
              </w:rPr>
              <w:t>公用</w:t>
            </w:r>
            <w:bookmarkStart w:id="0" w:name="_GoBack"/>
            <w:bookmarkEnd w:id="0"/>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widowControl/>
              <w:numPr>
                <w:ilvl w:val="0"/>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rPr>
              <w:t>23、一般工作预算基本支出表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roma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F455F"/>
    <w:multiLevelType w:val="singleLevel"/>
    <w:tmpl w:val="937F455F"/>
    <w:lvl w:ilvl="0" w:tentative="0">
      <w:start w:val="1"/>
      <w:numFmt w:val="decimal"/>
      <w:suff w:val="nothing"/>
      <w:lvlText w:val="%1、"/>
      <w:lvlJc w:val="left"/>
    </w:lvl>
  </w:abstractNum>
  <w:abstractNum w:abstractNumId="1">
    <w:nsid w:val="5A3EBAE8"/>
    <w:multiLevelType w:val="singleLevel"/>
    <w:tmpl w:val="5A3EBAE8"/>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UzZmNjMmE1MjJjOTYzMmI5NzNiMWJmOTkxZjljYTIifQ=="/>
  </w:docVars>
  <w:rsids>
    <w:rsidRoot w:val="00D712D1"/>
    <w:rsid w:val="0022278C"/>
    <w:rsid w:val="00D712D1"/>
    <w:rsid w:val="00F87972"/>
    <w:rsid w:val="140268C2"/>
    <w:rsid w:val="63F76701"/>
    <w:rsid w:val="6F7F6BA0"/>
    <w:rsid w:val="9BFFE6D6"/>
    <w:rsid w:val="B647A638"/>
    <w:rsid w:val="BF3FED33"/>
    <w:rsid w:val="EDFF1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11</Pages>
  <Words>4612</Words>
  <Characters>4969</Characters>
  <Lines>34</Lines>
  <Paragraphs>9</Paragraphs>
  <TotalTime>1</TotalTime>
  <ScaleCrop>false</ScaleCrop>
  <LinksUpToDate>false</LinksUpToDate>
  <CharactersWithSpaces>5027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2023-06-02T11:01:00Z</dcterms:created>
  <dc:creator>微软用户</dc:creator>
  <cp:lastModifiedBy>49266_000</cp:lastModifiedBy>
  <dcterms:modified xsi:type="dcterms:W3CDTF">2023-09-23T05:36:40Z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E70428FE53EF4B68A288972247BB966A_12</vt:lpwstr>
  </property>
</Properties>
</file>