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691317">
      <w:pPr>
        <w:jc w:val="center"/>
        <w:rPr>
          <w:rFonts w:ascii="Times New Roman" w:hAnsi="Times New Roman" w:eastAsia="方正小标宋_GBK"/>
          <w:sz w:val="52"/>
          <w:szCs w:val="52"/>
        </w:rPr>
      </w:pPr>
    </w:p>
    <w:p w14:paraId="2E0E33F2">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2023年度岳阳市市场监督管理局城陵矶新港区分局整体支出绩效自评报告</w:t>
      </w:r>
    </w:p>
    <w:p w14:paraId="71EB958A">
      <w:pPr>
        <w:jc w:val="center"/>
        <w:rPr>
          <w:rFonts w:ascii="Times New Roman" w:hAnsi="Times New Roman" w:eastAsia="方正小标宋_GBK"/>
          <w:b/>
          <w:sz w:val="52"/>
          <w:szCs w:val="52"/>
        </w:rPr>
      </w:pPr>
    </w:p>
    <w:p w14:paraId="75D4CC09">
      <w:pPr>
        <w:jc w:val="center"/>
        <w:rPr>
          <w:rFonts w:ascii="Times New Roman" w:hAnsi="Times New Roman" w:eastAsia="楷体_GB2312"/>
          <w:b/>
          <w:sz w:val="32"/>
          <w:szCs w:val="32"/>
        </w:rPr>
      </w:pPr>
    </w:p>
    <w:p w14:paraId="7FA46DAD">
      <w:pPr>
        <w:jc w:val="center"/>
        <w:rPr>
          <w:rFonts w:ascii="Times New Roman" w:hAnsi="Times New Roman" w:eastAsia="楷体_GB2312"/>
          <w:b/>
          <w:sz w:val="32"/>
          <w:szCs w:val="32"/>
        </w:rPr>
      </w:pPr>
    </w:p>
    <w:p w14:paraId="62108227">
      <w:pPr>
        <w:jc w:val="center"/>
        <w:rPr>
          <w:rFonts w:ascii="Times New Roman" w:hAnsi="Times New Roman" w:eastAsia="楷体_GB2312"/>
          <w:b/>
          <w:sz w:val="32"/>
          <w:szCs w:val="32"/>
        </w:rPr>
      </w:pPr>
    </w:p>
    <w:p w14:paraId="2E5DF932">
      <w:pPr>
        <w:jc w:val="center"/>
        <w:rPr>
          <w:rFonts w:ascii="Times New Roman" w:hAnsi="Times New Roman" w:eastAsia="楷体_GB2312"/>
          <w:b/>
          <w:sz w:val="32"/>
          <w:szCs w:val="32"/>
        </w:rPr>
      </w:pPr>
    </w:p>
    <w:p w14:paraId="662DC3A3">
      <w:pPr>
        <w:jc w:val="center"/>
        <w:rPr>
          <w:rFonts w:ascii="Times New Roman" w:hAnsi="Times New Roman" w:eastAsia="楷体_GB2312"/>
          <w:b/>
          <w:sz w:val="32"/>
          <w:szCs w:val="32"/>
        </w:rPr>
      </w:pPr>
    </w:p>
    <w:p w14:paraId="04B72134">
      <w:pPr>
        <w:jc w:val="center"/>
        <w:rPr>
          <w:rFonts w:ascii="Times New Roman" w:hAnsi="Times New Roman" w:eastAsia="楷体_GB2312"/>
          <w:b/>
          <w:sz w:val="32"/>
          <w:szCs w:val="32"/>
        </w:rPr>
      </w:pPr>
    </w:p>
    <w:p w14:paraId="00818B55">
      <w:pPr>
        <w:jc w:val="center"/>
        <w:rPr>
          <w:rFonts w:ascii="Times New Roman" w:hAnsi="Times New Roman" w:eastAsia="黑体"/>
          <w:sz w:val="32"/>
          <w:szCs w:val="32"/>
        </w:rPr>
      </w:pPr>
    </w:p>
    <w:p w14:paraId="04CADB47">
      <w:pPr>
        <w:jc w:val="center"/>
        <w:rPr>
          <w:rFonts w:ascii="Times New Roman" w:hAnsi="Times New Roman" w:eastAsia="黑体"/>
          <w:sz w:val="32"/>
          <w:szCs w:val="32"/>
        </w:rPr>
      </w:pPr>
    </w:p>
    <w:p w14:paraId="754AEA63">
      <w:pPr>
        <w:jc w:val="center"/>
        <w:rPr>
          <w:rFonts w:ascii="Times New Roman" w:hAnsi="Times New Roman" w:eastAsia="黑体"/>
          <w:sz w:val="32"/>
          <w:szCs w:val="32"/>
        </w:rPr>
      </w:pPr>
    </w:p>
    <w:p w14:paraId="560EDB1F">
      <w:pPr>
        <w:rPr>
          <w:rFonts w:ascii="Times New Roman" w:hAnsi="Times New Roman" w:eastAsia="黑体"/>
          <w:sz w:val="32"/>
          <w:szCs w:val="32"/>
        </w:rPr>
      </w:pPr>
    </w:p>
    <w:p w14:paraId="12F9184B">
      <w:pPr>
        <w:jc w:val="center"/>
        <w:rPr>
          <w:rFonts w:ascii="Times New Roman" w:hAnsi="Times New Roman" w:eastAsia="黑体"/>
          <w:sz w:val="32"/>
          <w:szCs w:val="32"/>
        </w:rPr>
      </w:pPr>
    </w:p>
    <w:p w14:paraId="7925BB87">
      <w:pPr>
        <w:jc w:val="center"/>
        <w:rPr>
          <w:rFonts w:ascii="Times New Roman" w:hAnsi="Times New Roman" w:eastAsia="黑体"/>
          <w:sz w:val="32"/>
          <w:szCs w:val="32"/>
        </w:rPr>
      </w:pPr>
    </w:p>
    <w:p w14:paraId="3798126B">
      <w:pPr>
        <w:jc w:val="center"/>
        <w:rPr>
          <w:rFonts w:ascii="Times New Roman" w:hAnsi="Times New Roman" w:eastAsia="黑体"/>
          <w:sz w:val="32"/>
          <w:szCs w:val="32"/>
        </w:rPr>
      </w:pPr>
    </w:p>
    <w:p w14:paraId="60076DC2">
      <w:pPr>
        <w:spacing w:line="600" w:lineRule="exact"/>
        <w:jc w:val="center"/>
        <w:rPr>
          <w:rFonts w:ascii="Times New Roman" w:hAnsi="Times New Roman" w:eastAsia="仿宋_GB2312"/>
          <w:sz w:val="32"/>
          <w:szCs w:val="32"/>
          <w:u w:val="single"/>
        </w:rPr>
      </w:pPr>
      <w:r>
        <w:rPr>
          <w:rFonts w:ascii="Times New Roman" w:hAnsi="Times New Roman" w:eastAsia="仿宋_GB2312"/>
          <w:sz w:val="32"/>
          <w:szCs w:val="32"/>
        </w:rPr>
        <w:t>部门（单位）名称：</w:t>
      </w:r>
      <w:r>
        <w:rPr>
          <w:rFonts w:hint="eastAsia" w:ascii="Times New Roman" w:hAnsi="Times New Roman" w:eastAsia="仿宋_GB2312"/>
          <w:sz w:val="32"/>
          <w:szCs w:val="32"/>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盖章）</w:t>
      </w:r>
    </w:p>
    <w:p w14:paraId="180A91FB">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lang w:val="en-US" w:eastAsia="zh-CN"/>
        </w:rPr>
        <w:t>2024</w:t>
      </w:r>
      <w:r>
        <w:rPr>
          <w:rFonts w:ascii="Times New Roman" w:hAnsi="Times New Roman" w:eastAsia="楷体_GB2312"/>
          <w:sz w:val="32"/>
          <w:szCs w:val="32"/>
        </w:rPr>
        <w:t xml:space="preserve">年 </w:t>
      </w:r>
      <w:r>
        <w:rPr>
          <w:rFonts w:hint="eastAsia" w:ascii="Times New Roman" w:hAnsi="Times New Roman" w:eastAsia="楷体_GB2312"/>
          <w:sz w:val="32"/>
          <w:szCs w:val="32"/>
          <w:lang w:val="en-US" w:eastAsia="zh-CN"/>
        </w:rPr>
        <w:t>06</w:t>
      </w:r>
      <w:r>
        <w:rPr>
          <w:rFonts w:ascii="Times New Roman" w:hAnsi="Times New Roman" w:eastAsia="楷体_GB2312"/>
          <w:sz w:val="32"/>
          <w:szCs w:val="32"/>
        </w:rPr>
        <w:t xml:space="preserve"> 月 </w:t>
      </w:r>
      <w:r>
        <w:rPr>
          <w:rFonts w:hint="eastAsia" w:ascii="Times New Roman" w:hAnsi="Times New Roman" w:eastAsia="楷体_GB2312"/>
          <w:sz w:val="32"/>
          <w:szCs w:val="32"/>
          <w:lang w:val="en-US" w:eastAsia="zh-CN"/>
        </w:rPr>
        <w:t>20</w:t>
      </w:r>
      <w:r>
        <w:rPr>
          <w:rFonts w:ascii="Times New Roman" w:hAnsi="Times New Roman" w:eastAsia="楷体_GB2312"/>
          <w:sz w:val="32"/>
          <w:szCs w:val="32"/>
        </w:rPr>
        <w:t xml:space="preserve"> 日</w:t>
      </w:r>
    </w:p>
    <w:p w14:paraId="688F103D">
      <w:pPr>
        <w:jc w:val="center"/>
        <w:rPr>
          <w:rFonts w:ascii="Times New Roman" w:hAnsi="Times New Roman" w:eastAsia="仿宋_GB2312"/>
          <w:sz w:val="32"/>
          <w:szCs w:val="32"/>
        </w:rPr>
      </w:pPr>
    </w:p>
    <w:p w14:paraId="536EEDFE">
      <w:pPr>
        <w:jc w:val="center"/>
        <w:rPr>
          <w:rFonts w:ascii="方正小标宋简体" w:hAnsi="方正小标宋简体" w:eastAsia="方正小标宋简体" w:cs="方正小标宋简体"/>
          <w:sz w:val="44"/>
          <w:szCs w:val="44"/>
        </w:rPr>
      </w:pPr>
      <w:r>
        <w:rPr>
          <w:rFonts w:ascii="Times New Roman" w:hAnsi="Times New Roman" w:eastAsia="仿宋_GB2312"/>
          <w:sz w:val="32"/>
          <w:szCs w:val="32"/>
        </w:rPr>
        <w:br w:type="page"/>
      </w:r>
      <w:r>
        <w:rPr>
          <w:rFonts w:hint="eastAsia" w:ascii="方正小标宋简体" w:hAnsi="方正小标宋简体" w:eastAsia="方正小标宋简体" w:cs="方正小标宋简体"/>
          <w:sz w:val="44"/>
          <w:szCs w:val="44"/>
        </w:rPr>
        <w:t>2023年度岳阳市市场监督管理局城陵矶新港区分局整体支出绩效自评报告</w:t>
      </w:r>
    </w:p>
    <w:p w14:paraId="61AD1073">
      <w:pPr>
        <w:spacing w:line="640" w:lineRule="exact"/>
        <w:ind w:firstLine="640" w:firstLineChars="200"/>
        <w:rPr>
          <w:rFonts w:ascii="Times New Roman" w:hAnsi="Times New Roman" w:eastAsia="仿宋_GB2312"/>
          <w:sz w:val="32"/>
          <w:szCs w:val="32"/>
        </w:rPr>
      </w:pPr>
    </w:p>
    <w:p w14:paraId="475CEA30">
      <w:pPr>
        <w:spacing w:line="640" w:lineRule="exact"/>
        <w:ind w:firstLine="640" w:firstLineChars="200"/>
        <w:rPr>
          <w:rFonts w:ascii="Times New Roman" w:hAnsi="Times New Roman" w:eastAsia="黑体"/>
          <w:sz w:val="32"/>
          <w:szCs w:val="32"/>
        </w:rPr>
      </w:pPr>
      <w:r>
        <w:rPr>
          <w:rFonts w:ascii="Times New Roman" w:hAnsi="Times New Roman" w:eastAsia="黑体"/>
          <w:sz w:val="32"/>
          <w:szCs w:val="32"/>
        </w:rPr>
        <w:t>一、部门基本情况</w:t>
      </w:r>
    </w:p>
    <w:p w14:paraId="5291082E">
      <w:pPr>
        <w:pStyle w:val="2"/>
        <w:spacing w:before="0" w:after="0"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共岳阳市委机构编制委员会办公室《关于印发&lt;岳阳市市场监督管理局派出机构及其所属单位职能配置、内设机构和人员编制规定&gt;的通知》（岳编办发[2019]6号），岳阳市市场监督管理局城陵矶新港区分局于2019年12月正式挂牌成立，系岳阳市市场监督管理局</w:t>
      </w:r>
      <w:r>
        <w:rPr>
          <w:rFonts w:hint="eastAsia" w:ascii="仿宋_GB2312" w:hAnsi="仿宋_GB2312" w:eastAsia="仿宋_GB2312" w:cs="仿宋_GB2312"/>
          <w:sz w:val="32"/>
          <w:szCs w:val="32"/>
          <w:lang w:val="en-US" w:eastAsia="zh-CN"/>
        </w:rPr>
        <w:t>直</w:t>
      </w:r>
      <w:r>
        <w:rPr>
          <w:rFonts w:hint="eastAsia" w:ascii="仿宋_GB2312" w:hAnsi="仿宋_GB2312" w:eastAsia="仿宋_GB2312" w:cs="仿宋_GB2312"/>
          <w:sz w:val="32"/>
          <w:szCs w:val="32"/>
        </w:rPr>
        <w:t>属二级机构。</w:t>
      </w:r>
    </w:p>
    <w:p w14:paraId="20F3B743">
      <w:pPr>
        <w:spacing w:line="560" w:lineRule="exact"/>
        <w:ind w:firstLine="640"/>
        <w:rPr>
          <w:rFonts w:ascii="楷体" w:hAnsi="楷体" w:eastAsia="楷体" w:cs="楷体"/>
          <w:sz w:val="32"/>
          <w:szCs w:val="32"/>
        </w:rPr>
      </w:pPr>
      <w:r>
        <w:rPr>
          <w:rFonts w:hint="eastAsia" w:ascii="楷体" w:hAnsi="楷体" w:eastAsia="楷体" w:cs="楷体"/>
          <w:sz w:val="32"/>
          <w:szCs w:val="32"/>
        </w:rPr>
        <w:t>（一）机构设置情况</w:t>
      </w:r>
    </w:p>
    <w:p w14:paraId="40CA440E">
      <w:pPr>
        <w:pStyle w:val="2"/>
        <w:spacing w:before="0" w:after="0" w:line="600" w:lineRule="exact"/>
        <w:ind w:firstLine="640" w:firstLineChars="200"/>
        <w:rPr>
          <w:rFonts w:eastAsia="仿宋_GB2312" w:cs="仿宋_GB2312"/>
          <w:kern w:val="0"/>
          <w:sz w:val="32"/>
          <w:szCs w:val="32"/>
          <w:lang w:val="zh-CN"/>
        </w:rPr>
      </w:pPr>
      <w:r>
        <w:rPr>
          <w:rFonts w:hint="eastAsia" w:ascii="仿宋_GB2312" w:hAnsi="仿宋_GB2312" w:eastAsia="仿宋_GB2312" w:cs="仿宋_GB2312"/>
          <w:sz w:val="32"/>
          <w:szCs w:val="32"/>
        </w:rPr>
        <w:t>岳阳市市场监督管理局城陵矶新港区分局</w:t>
      </w:r>
      <w:r>
        <w:rPr>
          <w:rFonts w:hint="eastAsia" w:ascii="仿宋_GB2312" w:hAnsi="仿宋_GB2312" w:eastAsia="仿宋_GB2312" w:cs="仿宋_GB2312"/>
          <w:kern w:val="0"/>
          <w:sz w:val="32"/>
          <w:szCs w:val="32"/>
          <w:lang w:val="zh-CN"/>
        </w:rPr>
        <w:t>内设行政综</w:t>
      </w:r>
      <w:r>
        <w:rPr>
          <w:rFonts w:hint="eastAsia" w:ascii="仿宋_GB2312" w:hAnsi="仿宋_GB2312" w:eastAsia="仿宋_GB2312" w:cs="仿宋_GB2312"/>
          <w:sz w:val="32"/>
          <w:szCs w:val="32"/>
          <w:lang w:val="zh-CN"/>
        </w:rPr>
        <w:t>合办公室、登记注册和信息化股（非公党建办公室）、综合业务股3个</w:t>
      </w:r>
      <w:r>
        <w:rPr>
          <w:rFonts w:hint="eastAsia" w:ascii="仿宋_GB2312" w:hAnsi="仿宋_GB2312" w:eastAsia="仿宋_GB2312" w:cs="仿宋_GB2312"/>
          <w:sz w:val="32"/>
          <w:szCs w:val="32"/>
        </w:rPr>
        <w:t>科室</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外设</w:t>
      </w:r>
      <w:r>
        <w:rPr>
          <w:rFonts w:hint="eastAsia" w:ascii="仿宋_GB2312" w:hAnsi="仿宋_GB2312" w:eastAsia="仿宋_GB2312" w:cs="仿宋_GB2312"/>
          <w:sz w:val="32"/>
          <w:szCs w:val="32"/>
          <w:lang w:val="zh-CN"/>
        </w:rPr>
        <w:t>新港市场监管所（副科级市场监管所）</w:t>
      </w:r>
      <w:r>
        <w:rPr>
          <w:rFonts w:hint="eastAsia" w:ascii="仿宋_GB2312" w:hAnsi="仿宋_GB2312" w:eastAsia="仿宋_GB2312" w:cs="仿宋_GB2312"/>
          <w:sz w:val="32"/>
          <w:szCs w:val="32"/>
        </w:rPr>
        <w:t>派出机构1个</w:t>
      </w:r>
      <w:r>
        <w:rPr>
          <w:rFonts w:hint="eastAsia" w:ascii="仿宋_GB2312" w:hAnsi="仿宋_GB2312" w:eastAsia="仿宋_GB2312" w:cs="仿宋_GB2312"/>
          <w:sz w:val="32"/>
          <w:szCs w:val="32"/>
          <w:lang w:val="zh-CN"/>
        </w:rPr>
        <w:t>。</w:t>
      </w:r>
    </w:p>
    <w:p w14:paraId="2AA1A833">
      <w:pPr>
        <w:spacing w:line="560" w:lineRule="exact"/>
        <w:ind w:firstLine="640"/>
        <w:rPr>
          <w:rFonts w:ascii="楷体" w:hAnsi="楷体" w:eastAsia="楷体" w:cs="楷体"/>
          <w:sz w:val="32"/>
          <w:szCs w:val="32"/>
        </w:rPr>
      </w:pPr>
      <w:r>
        <w:rPr>
          <w:rFonts w:hint="eastAsia" w:ascii="楷体" w:hAnsi="楷体" w:eastAsia="楷体" w:cs="楷体"/>
          <w:sz w:val="32"/>
          <w:szCs w:val="32"/>
        </w:rPr>
        <w:t>（二）人员情况</w:t>
      </w:r>
    </w:p>
    <w:p w14:paraId="16BE8193">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本局满编</w:t>
      </w:r>
      <w:r>
        <w:rPr>
          <w:rFonts w:hint="eastAsia" w:ascii="仿宋_GB2312" w:hAnsi="仿宋_GB2312" w:eastAsia="仿宋_GB2312" w:cs="仿宋_GB2312"/>
          <w:sz w:val="32"/>
          <w:szCs w:val="32"/>
          <w:lang w:val="zh-CN"/>
        </w:rPr>
        <w:t>人数</w:t>
      </w:r>
      <w:r>
        <w:rPr>
          <w:rFonts w:hint="eastAsia" w:ascii="仿宋_GB2312" w:hAnsi="仿宋_GB2312" w:eastAsia="仿宋_GB2312" w:cs="仿宋_GB2312"/>
          <w:sz w:val="32"/>
          <w:szCs w:val="32"/>
        </w:rPr>
        <w:t>为18人，现有在岗在编人员16</w:t>
      </w:r>
      <w:r>
        <w:rPr>
          <w:rFonts w:hint="eastAsia" w:ascii="仿宋_GB2312" w:hAnsi="仿宋_GB2312" w:eastAsia="仿宋_GB2312" w:cs="仿宋_GB2312"/>
          <w:sz w:val="32"/>
          <w:szCs w:val="32"/>
          <w:lang w:val="zh-CN"/>
        </w:rPr>
        <w:t>人，</w:t>
      </w:r>
      <w:r>
        <w:rPr>
          <w:rFonts w:hint="eastAsia" w:ascii="仿宋_GB2312" w:hAnsi="仿宋_GB2312" w:eastAsia="仿宋_GB2312" w:cs="仿宋_GB2312"/>
          <w:sz w:val="32"/>
          <w:szCs w:val="32"/>
        </w:rPr>
        <w:t>离岗退休人员1人</w:t>
      </w:r>
      <w:r>
        <w:rPr>
          <w:rFonts w:hint="eastAsia" w:ascii="仿宋_GB2312" w:hAnsi="仿宋_GB2312" w:eastAsia="仿宋_GB2312" w:cs="仿宋_GB2312"/>
          <w:sz w:val="32"/>
          <w:szCs w:val="32"/>
          <w:lang w:val="zh-CN"/>
        </w:rPr>
        <w:t>。</w:t>
      </w:r>
    </w:p>
    <w:p w14:paraId="257D9E19">
      <w:pPr>
        <w:spacing w:line="600" w:lineRule="exact"/>
        <w:ind w:firstLine="640" w:firstLineChars="20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（三）单位主要职责</w:t>
      </w:r>
    </w:p>
    <w:p w14:paraId="5F26F9AD">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zh-CN"/>
        </w:rPr>
        <w:t>负责市场综合监督管理。贯彻执行国家市场监督管理的方针、政策和法律法规规章，组织实施质量强区、食品安全、标准化和知识产权等战略，拟订并组织实施有关规划，规范和维护市场秩序，营造诚实守信、公平竞争的市场环境。</w:t>
      </w:r>
    </w:p>
    <w:p w14:paraId="75453E75">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zh-CN"/>
        </w:rPr>
        <w:t>负责市场主体统一登记注册工作。负责新港区各类企业、农民专业合作社和从事经营活动的单位、个体工商户等市场主体的登记注册工作。建立市场主体信息公示和共享机制，依法公示和共享有关信息，加强信用监管，推动市场主体信用体系建设。</w:t>
      </w:r>
    </w:p>
    <w:p w14:paraId="7C79FBD2">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zh-CN"/>
        </w:rPr>
        <w:t>负责组织指导市场监管综合执法工作。完善全区市场监管综合执法队伍整合和建设，推动实行统一的市场监管。组织查处违法案件。规范市场监管行政执法行为。</w:t>
      </w:r>
    </w:p>
    <w:p w14:paraId="6EBEA817">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zh-CN"/>
        </w:rPr>
        <w:t>依委托开展反垄断统一执法调查工作。依委托协助开展垄断协议、滥用市场支配地位和滥用行政权力排除、限制竞争等反垄断执法调查工作。</w:t>
      </w:r>
    </w:p>
    <w:p w14:paraId="23435D7D">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zh-CN"/>
        </w:rPr>
        <w:t>负责监督管理市场秩序。依法监督管理市场交易、网络商品交易及有关服务的行为。组织指导查处价格收费违法违规、不正当竞争、违法直销、传销、侵犯商标专利知识产权和制售假冒伪劣行为。依法实施合同、拍卖行为的监督管理，管理动产抵押物登记。指导广告业的发展，监督管理广告活动。承担依法查处无照生产经营和相关无证生产经营行为。</w:t>
      </w:r>
    </w:p>
    <w:p w14:paraId="6A6643DF">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zh-CN"/>
        </w:rPr>
        <w:t>负责宏观质量管理。贯彻国家、省、市质量发展的有关政策，拟订推进质量发展战略的政策措施并组织实施，对新港区质量管理工作进行宏观指导。组织实施质量奖励制度，积极推进质量强区战略和品牌建设，推动建立产品质量诚信制度；负责政府质量工作考核；组织实施产品和服务质量提升、开展服务质量监测；按规定权限组织对产品质量事故调查，配合实施缺陷产品召回制度，监督管理产品防伪工作。</w:t>
      </w:r>
    </w:p>
    <w:p w14:paraId="7046BC71">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zh-CN"/>
        </w:rPr>
        <w:t>负责产品质量安全监督管理。负责产品质量安全监督抽查和风险监控工作，组织实施质量分级制度、质量安全追溯制度。负责工业产品生产许可管理。负责纤维质量监督检验工作。</w:t>
      </w:r>
    </w:p>
    <w:p w14:paraId="64B8339C">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zh-CN"/>
        </w:rPr>
        <w:t>负责特种设备安全监督管理。综合管理特种设备安全监察、监督工作，监督检查高耗能特种设备节能标准和锅炉生产、进口、销售环节环境保护标准的执行情况。按规定权限组织调查处理特种设备事故并进行统计分析。</w:t>
      </w:r>
    </w:p>
    <w:p w14:paraId="09A0CB8E">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zh-CN"/>
        </w:rPr>
        <w:t>负责城陵矶新港区食品安全监督管理综合协调。负责食品安全应急体系建设，组织食品安全事件应急处置和调查处理工作。落实食品安全重要信息直报制度。</w:t>
      </w:r>
    </w:p>
    <w:p w14:paraId="78ADBEEE">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zh-CN"/>
        </w:rPr>
        <w:t>负责城陵矶新港区食品安全监督管理。建立覆盖食品生产、流通、消费全过程的监督检查制度和隐患排查治理机制并组织实施，防范区域性、系统性食品安全风险。推动建立食品生产经营者落实主体责任机制，健全食品安全追溯体系。组织开展食品安全监督抽检、风险监测、核查处置和风险预警、风险交流工作。组织开展特殊食品监督管理。负责食盐专营管理和食盐安全监督管理。</w:t>
      </w:r>
    </w:p>
    <w:p w14:paraId="3C82A114">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lang w:val="zh-CN"/>
        </w:rPr>
        <w:t>负责统一管理计量工作。推行国家法定计量单位，执行国家计量制度，依职权管理计量器具及量值传递和比对工作。规范、监督商品量和市场计量行为。</w:t>
      </w:r>
    </w:p>
    <w:p w14:paraId="7A6A5667">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lang w:val="zh-CN"/>
        </w:rPr>
        <w:t>负责统一管理标准化工作。组织实施标准化法律、法规，推进本行政区域内标准化战略的实施；依法开展标准化试点示范工作；管理城陵矶新港区商品条码工作；依据法定职责，对标准的制定进行指导监督，对标准的实施进行监督检查。推行采用国际标准。</w:t>
      </w:r>
    </w:p>
    <w:p w14:paraId="5C819AF6">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13.</w:t>
      </w:r>
      <w:r>
        <w:rPr>
          <w:rFonts w:hint="eastAsia" w:ascii="仿宋_GB2312" w:hAnsi="仿宋_GB2312" w:eastAsia="仿宋_GB2312" w:cs="仿宋_GB2312"/>
          <w:sz w:val="32"/>
          <w:szCs w:val="32"/>
          <w:lang w:val="zh-CN"/>
        </w:rPr>
        <w:t>负责检验检测工作。依权限配合上级机关开展检验检测工作。</w:t>
      </w:r>
    </w:p>
    <w:p w14:paraId="7322BEC8">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14.</w:t>
      </w:r>
      <w:r>
        <w:rPr>
          <w:rFonts w:hint="eastAsia" w:ascii="仿宋_GB2312" w:hAnsi="仿宋_GB2312" w:eastAsia="仿宋_GB2312" w:cs="仿宋_GB2312"/>
          <w:sz w:val="32"/>
          <w:szCs w:val="32"/>
          <w:lang w:val="zh-CN"/>
        </w:rPr>
        <w:t>负责统一管理、监督和综合协调认证认可工作。依法监督管理城陵矶新港区认证认可和合格评定有关活动。</w:t>
      </w:r>
    </w:p>
    <w:p w14:paraId="16FE02AF">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lang w:val="zh-CN"/>
        </w:rPr>
        <w:t>负责市场监督管理、知识产权领域科技和信息化建设、新闻宣传、对外交流与合作。按规定承担技术性贸易措施有关工作。</w:t>
      </w:r>
    </w:p>
    <w:p w14:paraId="29B9A926">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16.</w:t>
      </w:r>
      <w:r>
        <w:rPr>
          <w:rFonts w:hint="eastAsia" w:ascii="仿宋_GB2312" w:hAnsi="仿宋_GB2312" w:eastAsia="仿宋_GB2312" w:cs="仿宋_GB2312"/>
          <w:sz w:val="32"/>
          <w:szCs w:val="32"/>
          <w:lang w:val="zh-CN"/>
        </w:rPr>
        <w:t>负责实施知识产权战略，推进知识产权强区建设。制定强化知识产权创造、保护、运用的管理措施并组织实施。建设知识产权公共服务体系，推动知识产权信息传播利用，建设知识产权人才队伍。</w:t>
      </w:r>
    </w:p>
    <w:p w14:paraId="529AEBC6">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17.</w:t>
      </w:r>
      <w:r>
        <w:rPr>
          <w:rFonts w:hint="eastAsia" w:ascii="仿宋_GB2312" w:hAnsi="仿宋_GB2312" w:eastAsia="仿宋_GB2312" w:cs="仿宋_GB2312"/>
          <w:sz w:val="32"/>
          <w:szCs w:val="32"/>
          <w:lang w:val="zh-CN"/>
        </w:rPr>
        <w:t>负责保护知识产权。落实严格保护专利、商标、原产地地理标志等相关工作，建设知识产权保护体系、指导监督商标、专利及原产地地理标志执法。</w:t>
      </w:r>
    </w:p>
    <w:p w14:paraId="1C53E406">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18.</w:t>
      </w:r>
      <w:r>
        <w:rPr>
          <w:rFonts w:hint="eastAsia" w:ascii="仿宋_GB2312" w:hAnsi="仿宋_GB2312" w:eastAsia="仿宋_GB2312" w:cs="仿宋_GB2312"/>
          <w:sz w:val="32"/>
          <w:szCs w:val="32"/>
          <w:lang w:val="zh-CN"/>
        </w:rPr>
        <w:t>负责知识产权创造运用。开展知识产权运营体系建设，指导重大经济活动知识产权评议，规范知识产权交易和无形资产评估，促进知识产权转移转化，推动知识产权高质量发展。</w:t>
      </w:r>
    </w:p>
    <w:p w14:paraId="595F6C88">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19.</w:t>
      </w:r>
      <w:r>
        <w:rPr>
          <w:rFonts w:hint="eastAsia" w:ascii="仿宋_GB2312" w:hAnsi="仿宋_GB2312" w:eastAsia="仿宋_GB2312" w:cs="仿宋_GB2312"/>
          <w:sz w:val="32"/>
          <w:szCs w:val="32"/>
          <w:lang w:val="zh-CN"/>
        </w:rPr>
        <w:t>负责组织开展有关商品和服务领域消费维权工作，查处假冒伪劣等违法行为，指导消费者咨询、投诉、举报受理、处理等工作，保护经营者、消费者合法权益。指导消费者权益保护组织开展消费维权工作。</w:t>
      </w:r>
    </w:p>
    <w:p w14:paraId="3CD379A5">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zh-CN"/>
        </w:rPr>
        <w:t>负责药品（含中药、民族药，下同）、医疗器械和化妆品安全监督管理。贯彻执行国家、省关于药品、医疗器械、化妆品安全监督管理的法律、法规和规章。</w:t>
      </w:r>
    </w:p>
    <w:p w14:paraId="17EE796C">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21.</w:t>
      </w:r>
      <w:r>
        <w:rPr>
          <w:rFonts w:hint="eastAsia" w:ascii="仿宋_GB2312" w:hAnsi="仿宋_GB2312" w:eastAsia="仿宋_GB2312" w:cs="仿宋_GB2312"/>
          <w:sz w:val="32"/>
          <w:szCs w:val="32"/>
          <w:lang w:val="zh-CN"/>
        </w:rPr>
        <w:t>监督实施药品、医疗器械、化妆品标准和分类管理制度，配合有关部门实施国家基本药物制度。</w:t>
      </w:r>
    </w:p>
    <w:p w14:paraId="32B4ECD7">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22.</w:t>
      </w:r>
      <w:r>
        <w:rPr>
          <w:rFonts w:hint="eastAsia" w:ascii="仿宋_GB2312" w:hAnsi="仿宋_GB2312" w:eastAsia="仿宋_GB2312" w:cs="仿宋_GB2312"/>
          <w:sz w:val="32"/>
          <w:szCs w:val="32"/>
          <w:lang w:val="zh-CN"/>
        </w:rPr>
        <w:t>负责权限范围内药品、医疗器械和化妆品质量管理。监督实施药品、医疗器械经营质量管理规范，监督实施化妆品经营、使用卫生标准和技术规范。</w:t>
      </w:r>
    </w:p>
    <w:p w14:paraId="61EECE51">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23.</w:t>
      </w:r>
      <w:r>
        <w:rPr>
          <w:rFonts w:hint="eastAsia" w:ascii="仿宋_GB2312" w:hAnsi="仿宋_GB2312" w:eastAsia="仿宋_GB2312" w:cs="仿宋_GB2312"/>
          <w:sz w:val="32"/>
          <w:szCs w:val="32"/>
          <w:lang w:val="zh-CN"/>
        </w:rPr>
        <w:t>负责权限范围内药品、医疗器械和化妆品上市后风险管理。依委托组织开展药品不良反应、医疗器械不良事件和化妆品不良反应的监测、评价和处置工作。依法承担药品、医疗器械和化妆品安全应急管理工作。</w:t>
      </w:r>
    </w:p>
    <w:p w14:paraId="216DEDF1">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24.</w:t>
      </w:r>
      <w:r>
        <w:rPr>
          <w:rFonts w:hint="eastAsia" w:ascii="仿宋_GB2312" w:hAnsi="仿宋_GB2312" w:eastAsia="仿宋_GB2312" w:cs="仿宋_GB2312"/>
          <w:sz w:val="32"/>
          <w:szCs w:val="32"/>
          <w:lang w:val="zh-CN"/>
        </w:rPr>
        <w:t>负责组织实施药品、医疗器械和化妆品监督检查。制定检查制度，依法查处药品、医疗器械和化妆品经营、使用环节违法行为，监督实施问题产品召回和处置制度，依职责组织指导查处其他环节的违法行为。</w:t>
      </w:r>
    </w:p>
    <w:p w14:paraId="114DFB57">
      <w:pPr>
        <w:spacing w:line="600" w:lineRule="exact"/>
        <w:ind w:firstLine="640" w:firstLineChars="200"/>
      </w:pPr>
      <w:r>
        <w:rPr>
          <w:rFonts w:hint="eastAsia" w:ascii="仿宋_GB2312" w:hAnsi="仿宋_GB2312" w:eastAsia="仿宋_GB2312" w:cs="仿宋_GB2312"/>
          <w:sz w:val="32"/>
          <w:szCs w:val="32"/>
        </w:rPr>
        <w:t>25.</w:t>
      </w:r>
      <w:r>
        <w:rPr>
          <w:rFonts w:hint="eastAsia" w:ascii="仿宋_GB2312" w:hAnsi="仿宋_GB2312" w:eastAsia="仿宋_GB2312" w:cs="仿宋_GB2312"/>
          <w:sz w:val="32"/>
          <w:szCs w:val="32"/>
          <w:lang w:val="zh-CN"/>
        </w:rPr>
        <w:t>完成上级部门和区政府（管委会）交办的其他任务。</w:t>
      </w:r>
    </w:p>
    <w:p w14:paraId="77AFE256">
      <w:pPr>
        <w:pStyle w:val="17"/>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二、一般公共预算支出情况</w:t>
      </w:r>
    </w:p>
    <w:p w14:paraId="318B041D">
      <w:pPr>
        <w:spacing w:line="560" w:lineRule="exact"/>
        <w:ind w:firstLine="640" w:firstLineChars="200"/>
        <w:rPr>
          <w:rFonts w:ascii="仿宋_GB2312" w:hAnsi="����" w:eastAsia="仿宋_GB2312" w:cs="宋体"/>
          <w:color w:val="000000"/>
          <w:sz w:val="32"/>
          <w:szCs w:val="32"/>
        </w:rPr>
      </w:pPr>
      <w:r>
        <w:rPr>
          <w:rFonts w:hint="eastAsia" w:ascii="仿宋_GB2312" w:hAnsi="����" w:eastAsia="仿宋_GB2312" w:cs="宋体"/>
          <w:color w:val="000000"/>
          <w:sz w:val="32"/>
          <w:szCs w:val="32"/>
        </w:rPr>
        <w:t>2023年一般公共预算拨款收入（经费拨款和纳入一般公共预算管理的非税收入拨款）</w:t>
      </w:r>
      <w:r>
        <w:rPr>
          <w:rFonts w:ascii="仿宋_GB2312" w:hAnsi="����" w:eastAsia="仿宋_GB2312" w:cs="宋体"/>
          <w:color w:val="000000"/>
          <w:sz w:val="32"/>
          <w:szCs w:val="32"/>
        </w:rPr>
        <w:t>299.18</w:t>
      </w:r>
      <w:r>
        <w:rPr>
          <w:rFonts w:hint="eastAsia" w:ascii="仿宋_GB2312" w:hAnsi="����" w:eastAsia="仿宋_GB2312" w:cs="宋体"/>
          <w:color w:val="000000"/>
          <w:sz w:val="32"/>
          <w:szCs w:val="32"/>
        </w:rPr>
        <w:t>万元，其他收入</w:t>
      </w:r>
      <w:r>
        <w:rPr>
          <w:rFonts w:ascii="仿宋_GB2312" w:hAnsi="����" w:eastAsia="仿宋_GB2312" w:cs="宋体"/>
          <w:color w:val="000000"/>
          <w:sz w:val="32"/>
          <w:szCs w:val="32"/>
        </w:rPr>
        <w:t>91.71</w:t>
      </w:r>
      <w:r>
        <w:rPr>
          <w:rFonts w:hint="eastAsia" w:ascii="仿宋_GB2312" w:hAnsi="����" w:eastAsia="仿宋_GB2312" w:cs="宋体"/>
          <w:color w:val="000000"/>
          <w:sz w:val="32"/>
          <w:szCs w:val="32"/>
        </w:rPr>
        <w:t>万元，年度总收入</w:t>
      </w:r>
      <w:r>
        <w:rPr>
          <w:rFonts w:ascii="仿宋_GB2312" w:hAnsi="����" w:eastAsia="仿宋_GB2312" w:cs="宋体"/>
          <w:color w:val="000000"/>
          <w:sz w:val="32"/>
          <w:szCs w:val="32"/>
        </w:rPr>
        <w:t>390.89</w:t>
      </w:r>
      <w:r>
        <w:rPr>
          <w:rFonts w:hint="eastAsia" w:ascii="仿宋_GB2312" w:hAnsi="����" w:eastAsia="仿宋_GB2312" w:cs="宋体"/>
          <w:color w:val="000000"/>
          <w:sz w:val="32"/>
          <w:szCs w:val="32"/>
        </w:rPr>
        <w:t>万元。</w:t>
      </w:r>
    </w:p>
    <w:p w14:paraId="3D29A494">
      <w:pPr>
        <w:pStyle w:val="17"/>
        <w:widowControl/>
        <w:spacing w:line="640" w:lineRule="exact"/>
        <w:ind w:firstLine="640"/>
        <w:rPr>
          <w:rFonts w:ascii="Times New Roman" w:hAnsi="Times New Roman" w:eastAsia="楷体_GB2312"/>
          <w:sz w:val="32"/>
          <w:szCs w:val="32"/>
        </w:rPr>
      </w:pPr>
      <w:r>
        <w:rPr>
          <w:rFonts w:ascii="Times New Roman" w:hAnsi="Times New Roman" w:eastAsia="楷体_GB2312"/>
          <w:sz w:val="32"/>
          <w:szCs w:val="32"/>
        </w:rPr>
        <w:t>（一）基本支出情况</w:t>
      </w:r>
    </w:p>
    <w:p w14:paraId="019B85A8">
      <w:pPr>
        <w:spacing w:line="560" w:lineRule="exact"/>
        <w:ind w:firstLine="640"/>
        <w:rPr>
          <w:rFonts w:ascii="仿宋_GB2312" w:hAnsi="����" w:eastAsia="仿宋_GB2312" w:cs="宋体"/>
          <w:color w:val="000000"/>
          <w:sz w:val="32"/>
          <w:szCs w:val="32"/>
        </w:rPr>
      </w:pPr>
      <w:r>
        <w:rPr>
          <w:rFonts w:hint="eastAsia" w:ascii="仿宋_GB2312" w:hAnsi="����" w:eastAsia="仿宋_GB2312" w:cs="宋体"/>
          <w:color w:val="000000"/>
          <w:sz w:val="32"/>
          <w:szCs w:val="32"/>
        </w:rPr>
        <w:t>本年度基本支出</w:t>
      </w:r>
      <w:r>
        <w:rPr>
          <w:rFonts w:hint="eastAsia" w:ascii="仿宋_GB2312" w:hAnsi="����" w:eastAsia="仿宋_GB2312" w:cs="宋体"/>
          <w:color w:val="000000"/>
          <w:sz w:val="32"/>
          <w:szCs w:val="32"/>
          <w:lang w:val="en-US" w:eastAsia="zh-CN"/>
        </w:rPr>
        <w:t>325.39</w:t>
      </w:r>
      <w:r>
        <w:rPr>
          <w:rFonts w:hint="eastAsia" w:ascii="仿宋_GB2312" w:hAnsi="����" w:eastAsia="仿宋_GB2312" w:cs="宋体"/>
          <w:color w:val="000000"/>
          <w:sz w:val="32"/>
          <w:szCs w:val="32"/>
        </w:rPr>
        <w:t>万元，</w:t>
      </w:r>
      <w:r>
        <w:rPr>
          <w:rFonts w:hint="eastAsia" w:ascii="仿宋_GB2312" w:hAnsi="仿宋_GB2312" w:eastAsia="仿宋_GB2312" w:cs="仿宋_GB2312"/>
          <w:kern w:val="0"/>
          <w:sz w:val="32"/>
          <w:szCs w:val="32"/>
          <w:lang w:val="en-US" w:eastAsia="zh-CN" w:bidi="ar-SA"/>
        </w:rPr>
        <w:t>占总支出的83.26%</w:t>
      </w:r>
      <w:r>
        <w:rPr>
          <w:rFonts w:hint="eastAsia" w:ascii="仿宋_GB2312" w:hAnsi="仿宋_GB2312" w:eastAsia="仿宋_GB2312" w:cs="仿宋_GB2312"/>
          <w:kern w:val="0"/>
          <w:sz w:val="32"/>
          <w:szCs w:val="32"/>
          <w:lang w:val="zh-CN" w:eastAsia="zh-CN" w:bidi="ar-SA"/>
        </w:rPr>
        <w:t>。</w:t>
      </w:r>
      <w:r>
        <w:rPr>
          <w:rFonts w:hint="eastAsia" w:ascii="仿宋_GB2312" w:hAnsi="����" w:eastAsia="仿宋_GB2312" w:cs="宋体"/>
          <w:color w:val="000000"/>
          <w:sz w:val="32"/>
          <w:szCs w:val="32"/>
        </w:rPr>
        <w:t>其中：</w:t>
      </w:r>
      <w:r>
        <w:rPr>
          <w:rFonts w:hint="eastAsia" w:ascii="仿宋_GB2312" w:hAnsi="仿宋_GB2312" w:eastAsia="仿宋_GB2312" w:cs="仿宋_GB2312"/>
          <w:sz w:val="32"/>
          <w:szCs w:val="32"/>
        </w:rPr>
        <w:t>工资福利支出</w:t>
      </w:r>
      <w:r>
        <w:rPr>
          <w:rFonts w:ascii="仿宋_GB2312" w:hAnsi="仿宋_GB2312" w:eastAsia="仿宋_GB2312" w:cs="仿宋_GB2312"/>
          <w:sz w:val="32"/>
          <w:szCs w:val="32"/>
        </w:rPr>
        <w:t>260.7</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万元，商品和服务支出</w:t>
      </w:r>
      <w:r>
        <w:rPr>
          <w:rFonts w:hint="eastAsia" w:ascii="仿宋_GB2312" w:hAnsi="仿宋_GB2312" w:eastAsia="仿宋_GB2312" w:cs="仿宋_GB2312"/>
          <w:sz w:val="32"/>
          <w:szCs w:val="32"/>
          <w:lang w:val="en-US" w:eastAsia="zh-CN"/>
        </w:rPr>
        <w:t>63.99</w:t>
      </w:r>
      <w:r>
        <w:rPr>
          <w:rFonts w:hint="eastAsia" w:ascii="仿宋_GB2312" w:hAnsi="仿宋_GB2312" w:eastAsia="仿宋_GB2312" w:cs="仿宋_GB2312"/>
          <w:sz w:val="32"/>
          <w:szCs w:val="32"/>
        </w:rPr>
        <w:t>万元，对个人和家庭补助支出</w:t>
      </w:r>
      <w:r>
        <w:rPr>
          <w:rFonts w:ascii="仿宋_GB2312" w:hAnsi="仿宋_GB2312" w:eastAsia="仿宋_GB2312" w:cs="仿宋_GB2312"/>
          <w:sz w:val="32"/>
          <w:szCs w:val="32"/>
        </w:rPr>
        <w:t>0.65</w:t>
      </w:r>
      <w:r>
        <w:rPr>
          <w:rFonts w:hint="eastAsia" w:ascii="仿宋_GB2312" w:hAnsi="仿宋_GB2312" w:eastAsia="仿宋_GB2312" w:cs="仿宋_GB2312"/>
          <w:sz w:val="32"/>
          <w:szCs w:val="32"/>
        </w:rPr>
        <w:t>万元。</w:t>
      </w:r>
      <w:r>
        <w:rPr>
          <w:rFonts w:hint="eastAsia" w:ascii="仿宋_GB2312" w:hAnsi="����" w:eastAsia="仿宋_GB2312" w:cs="宋体"/>
          <w:color w:val="000000"/>
          <w:sz w:val="32"/>
          <w:szCs w:val="32"/>
        </w:rPr>
        <w:t>是为保障分局正常运转、完成日常工作任务而发生的各项支出，主要包括用于基本工资、津贴补贴等人员经费以及办公费、印刷费、水电费、差旅费、培训费、办公设备购置等日常公用经费。</w:t>
      </w:r>
    </w:p>
    <w:p w14:paraId="466320DF">
      <w:pPr>
        <w:pStyle w:val="17"/>
        <w:widowControl/>
        <w:spacing w:line="640" w:lineRule="exact"/>
        <w:ind w:firstLine="640"/>
        <w:rPr>
          <w:rFonts w:ascii="Times New Roman" w:hAnsi="Times New Roman" w:eastAsia="楷体_GB2312"/>
          <w:sz w:val="32"/>
          <w:szCs w:val="32"/>
        </w:rPr>
      </w:pPr>
      <w:r>
        <w:rPr>
          <w:rFonts w:ascii="Times New Roman" w:hAnsi="Times New Roman" w:eastAsia="楷体_GB2312"/>
          <w:sz w:val="32"/>
          <w:szCs w:val="32"/>
        </w:rPr>
        <w:t>（二）项目支出情况</w:t>
      </w:r>
    </w:p>
    <w:p w14:paraId="663BE214">
      <w:pPr>
        <w:keepNext w:val="0"/>
        <w:keepLines w:val="0"/>
        <w:pageBreakBefore w:val="0"/>
        <w:widowControl/>
        <w:suppressLineNumbers w:val="0"/>
        <w:kinsoku/>
        <w:wordWrap/>
        <w:overflowPunct/>
        <w:topLinePunct w:val="0"/>
        <w:autoSpaceDE/>
        <w:autoSpaceDN/>
        <w:bidi w:val="0"/>
        <w:adjustRightInd/>
        <w:spacing w:line="600" w:lineRule="exact"/>
        <w:ind w:firstLine="640" w:firstLineChars="200"/>
        <w:jc w:val="left"/>
        <w:textAlignment w:val="auto"/>
        <w:rPr>
          <w:rFonts w:hint="default"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一般公共预算财政拨款项目支出 65.44万元，占总支出的16.74%。</w:t>
      </w:r>
      <w:r>
        <w:rPr>
          <w:rFonts w:hint="default" w:ascii="仿宋_GB2312" w:hAnsi="仿宋_GB2312" w:eastAsia="仿宋_GB2312" w:cs="仿宋_GB2312"/>
          <w:kern w:val="0"/>
          <w:sz w:val="32"/>
          <w:szCs w:val="32"/>
          <w:lang w:val="en-US" w:eastAsia="zh-CN" w:bidi="ar-SA"/>
        </w:rPr>
        <w:t>其中</w:t>
      </w:r>
      <w:r>
        <w:rPr>
          <w:rFonts w:hint="eastAsia" w:ascii="仿宋_GB2312" w:hAnsi="仿宋_GB2312" w:eastAsia="仿宋_GB2312" w:cs="仿宋_GB2312"/>
          <w:kern w:val="0"/>
          <w:sz w:val="32"/>
          <w:szCs w:val="32"/>
          <w:lang w:val="en-US" w:eastAsia="zh-CN" w:bidi="ar-SA"/>
        </w:rPr>
        <w:t>：</w:t>
      </w:r>
      <w:r>
        <w:rPr>
          <w:rFonts w:hint="default" w:ascii="仿宋_GB2312" w:hAnsi="仿宋_GB2312" w:eastAsia="仿宋_GB2312" w:cs="仿宋_GB2312"/>
          <w:kern w:val="0"/>
          <w:sz w:val="32"/>
          <w:szCs w:val="32"/>
          <w:lang w:val="en-US" w:eastAsia="zh-CN" w:bidi="ar-SA"/>
        </w:rPr>
        <w:t>商品和服务支出</w:t>
      </w:r>
      <w:r>
        <w:rPr>
          <w:rFonts w:hint="eastAsia" w:ascii="仿宋_GB2312" w:hAnsi="仿宋_GB2312" w:eastAsia="仿宋_GB2312" w:cs="仿宋_GB2312"/>
          <w:kern w:val="0"/>
          <w:sz w:val="32"/>
          <w:szCs w:val="32"/>
          <w:lang w:val="en-US" w:eastAsia="zh-CN" w:bidi="ar-SA"/>
        </w:rPr>
        <w:t>62.14</w:t>
      </w:r>
      <w:r>
        <w:rPr>
          <w:rFonts w:hint="default" w:ascii="仿宋_GB2312" w:hAnsi="仿宋_GB2312" w:eastAsia="仿宋_GB2312" w:cs="仿宋_GB2312"/>
          <w:kern w:val="0"/>
          <w:sz w:val="32"/>
          <w:szCs w:val="32"/>
          <w:lang w:val="en-US" w:eastAsia="zh-CN" w:bidi="ar-SA"/>
        </w:rPr>
        <w:t>万元</w:t>
      </w:r>
      <w:r>
        <w:rPr>
          <w:rFonts w:hint="eastAsia" w:ascii="仿宋_GB2312" w:hAnsi="仿宋_GB2312" w:eastAsia="仿宋_GB2312" w:cs="仿宋_GB2312"/>
          <w:kern w:val="0"/>
          <w:sz w:val="32"/>
          <w:szCs w:val="32"/>
          <w:lang w:val="en-US" w:eastAsia="zh-CN" w:bidi="ar-SA"/>
        </w:rPr>
        <w:t>；</w:t>
      </w:r>
      <w:r>
        <w:rPr>
          <w:rFonts w:hint="default" w:ascii="仿宋_GB2312" w:hAnsi="仿宋_GB2312" w:eastAsia="仿宋_GB2312" w:cs="仿宋_GB2312"/>
          <w:kern w:val="0"/>
          <w:sz w:val="32"/>
          <w:szCs w:val="32"/>
          <w:lang w:val="en-US" w:eastAsia="zh-CN" w:bidi="ar-SA"/>
        </w:rPr>
        <w:t>资本性支出</w:t>
      </w:r>
      <w:r>
        <w:rPr>
          <w:rFonts w:hint="eastAsia" w:ascii="仿宋_GB2312" w:hAnsi="仿宋_GB2312" w:eastAsia="仿宋_GB2312" w:cs="仿宋_GB2312"/>
          <w:kern w:val="0"/>
          <w:sz w:val="32"/>
          <w:szCs w:val="32"/>
          <w:lang w:val="en-US" w:eastAsia="zh-CN" w:bidi="ar-SA"/>
        </w:rPr>
        <w:t>3.3</w:t>
      </w:r>
      <w:r>
        <w:rPr>
          <w:rFonts w:hint="default" w:ascii="仿宋_GB2312" w:hAnsi="仿宋_GB2312" w:eastAsia="仿宋_GB2312" w:cs="仿宋_GB2312"/>
          <w:kern w:val="0"/>
          <w:sz w:val="32"/>
          <w:szCs w:val="32"/>
          <w:lang w:val="en-US" w:eastAsia="zh-CN" w:bidi="ar-SA"/>
        </w:rPr>
        <w:t>万元</w:t>
      </w:r>
      <w:r>
        <w:rPr>
          <w:rFonts w:hint="eastAsia" w:ascii="仿宋_GB2312" w:hAnsi="仿宋_GB2312" w:eastAsia="仿宋_GB2312" w:cs="仿宋_GB2312"/>
          <w:kern w:val="0"/>
          <w:sz w:val="32"/>
          <w:szCs w:val="32"/>
          <w:lang w:val="en-US" w:eastAsia="zh-CN" w:bidi="ar-SA"/>
        </w:rPr>
        <w:t>。</w:t>
      </w:r>
    </w:p>
    <w:p w14:paraId="2E319DAF">
      <w:pPr>
        <w:numPr>
          <w:ilvl w:val="0"/>
          <w:numId w:val="1"/>
        </w:num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“三公”经费使用管理情况</w:t>
      </w:r>
    </w:p>
    <w:p w14:paraId="407B0257">
      <w:pPr>
        <w:spacing w:line="560" w:lineRule="exact"/>
        <w:ind w:firstLine="640"/>
        <w:rPr>
          <w:rFonts w:ascii="仿宋_GB2312" w:hAnsi="����" w:eastAsia="仿宋_GB2312" w:cs="宋体"/>
          <w:color w:val="000000"/>
          <w:sz w:val="32"/>
          <w:szCs w:val="32"/>
        </w:rPr>
      </w:pPr>
      <w:r>
        <w:rPr>
          <w:rFonts w:hint="eastAsia" w:ascii="仿宋_GB2312" w:hAnsi="仿宋_GB2312" w:eastAsia="仿宋_GB2312" w:cs="仿宋_GB2312"/>
          <w:sz w:val="32"/>
          <w:szCs w:val="32"/>
        </w:rPr>
        <w:t>2023年“三公经费”年度预算为4万元，其中公务用车运行费为3万元，公务接待费为1万元。全年“三公经费”实际支出为2.89万元，公务用车运行费为2.36万元，公务接待费为0.53万元，结余经费为1.11万元。</w:t>
      </w:r>
    </w:p>
    <w:p w14:paraId="4A158D2F">
      <w:pPr>
        <w:pStyle w:val="17"/>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三、政府性基金预算支出情况</w:t>
      </w:r>
    </w:p>
    <w:p w14:paraId="37D62C27">
      <w:pPr>
        <w:spacing w:line="560" w:lineRule="exact"/>
        <w:ind w:firstLine="640"/>
        <w:rPr>
          <w:rFonts w:ascii="仿宋_GB2312" w:hAnsi="����" w:eastAsia="仿宋_GB2312" w:cs="宋体"/>
          <w:color w:val="000000"/>
          <w:sz w:val="32"/>
          <w:szCs w:val="32"/>
        </w:rPr>
      </w:pPr>
      <w:r>
        <w:rPr>
          <w:rFonts w:hint="eastAsia" w:ascii="仿宋_GB2312" w:hAnsi="����" w:eastAsia="仿宋_GB2312" w:cs="宋体"/>
          <w:color w:val="000000"/>
          <w:sz w:val="32"/>
          <w:szCs w:val="32"/>
        </w:rPr>
        <w:t>无。</w:t>
      </w:r>
    </w:p>
    <w:p w14:paraId="2E68931C">
      <w:pPr>
        <w:pStyle w:val="17"/>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四、国有资本经营预算支出情况</w:t>
      </w:r>
    </w:p>
    <w:p w14:paraId="7CE062D3">
      <w:pPr>
        <w:spacing w:line="560" w:lineRule="exact"/>
        <w:ind w:firstLine="640"/>
        <w:rPr>
          <w:rFonts w:ascii="仿宋_GB2312" w:hAnsi="����" w:eastAsia="仿宋_GB2312" w:cs="宋体"/>
          <w:color w:val="000000"/>
          <w:sz w:val="32"/>
          <w:szCs w:val="32"/>
        </w:rPr>
      </w:pPr>
      <w:r>
        <w:rPr>
          <w:rFonts w:hint="eastAsia" w:ascii="仿宋_GB2312" w:hAnsi="����" w:eastAsia="仿宋_GB2312" w:cs="宋体"/>
          <w:color w:val="000000"/>
          <w:sz w:val="32"/>
          <w:szCs w:val="32"/>
        </w:rPr>
        <w:t>无。</w:t>
      </w:r>
    </w:p>
    <w:p w14:paraId="473C27B2">
      <w:pPr>
        <w:pStyle w:val="17"/>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五、社会保险基金预算支出情况</w:t>
      </w:r>
    </w:p>
    <w:p w14:paraId="69CBB8FE">
      <w:pPr>
        <w:spacing w:line="560" w:lineRule="exact"/>
        <w:ind w:firstLine="640"/>
        <w:rPr>
          <w:rFonts w:ascii="仿宋_GB2312" w:hAnsi="����" w:eastAsia="仿宋_GB2312" w:cs="宋体"/>
          <w:color w:val="000000"/>
          <w:sz w:val="32"/>
          <w:szCs w:val="32"/>
        </w:rPr>
      </w:pPr>
      <w:r>
        <w:rPr>
          <w:rFonts w:hint="eastAsia" w:ascii="仿宋_GB2312" w:hAnsi="����" w:eastAsia="仿宋_GB2312" w:cs="宋体"/>
          <w:color w:val="000000"/>
          <w:sz w:val="32"/>
          <w:szCs w:val="32"/>
        </w:rPr>
        <w:t>无。</w:t>
      </w:r>
    </w:p>
    <w:p w14:paraId="4784E69A">
      <w:pPr>
        <w:widowControl/>
        <w:spacing w:line="640" w:lineRule="exact"/>
        <w:ind w:firstLine="640" w:firstLineChars="200"/>
        <w:rPr>
          <w:rFonts w:ascii="Times New Roman" w:hAnsi="Times New Roman" w:eastAsia="黑体"/>
          <w:sz w:val="32"/>
          <w:szCs w:val="32"/>
        </w:rPr>
      </w:pPr>
      <w:r>
        <w:rPr>
          <w:rFonts w:ascii="Times New Roman" w:hAnsi="Times New Roman" w:eastAsia="黑体"/>
          <w:sz w:val="32"/>
          <w:szCs w:val="32"/>
        </w:rPr>
        <w:t>六、部门整体支出绩效情况</w:t>
      </w:r>
    </w:p>
    <w:p w14:paraId="508F853A">
      <w:pPr>
        <w:widowControl/>
        <w:spacing w:line="64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2023年度</w:t>
      </w:r>
      <w:r>
        <w:rPr>
          <w:rFonts w:hint="eastAsia" w:ascii="Times New Roman" w:hAnsi="Times New Roman" w:eastAsia="仿宋_GB2312"/>
          <w:color w:val="000000"/>
          <w:sz w:val="32"/>
          <w:szCs w:val="32"/>
          <w:lang w:val="en-US" w:eastAsia="zh-CN"/>
        </w:rPr>
        <w:t>我</w:t>
      </w:r>
      <w:r>
        <w:rPr>
          <w:rFonts w:hint="eastAsia" w:ascii="Times New Roman" w:hAnsi="Times New Roman" w:eastAsia="仿宋_GB2312"/>
          <w:color w:val="000000"/>
          <w:sz w:val="32"/>
          <w:szCs w:val="32"/>
        </w:rPr>
        <w:t>局各项指标在市局组织开展的绩效考核中全部良好。能严格按照国家、省、市及市局、分局本级财务管理制度要求，严格预算执行分析管理，严控“三公经费”及各类商品、服务经费支出，各项经费支出绩效指标均达到了年初预算绩效目标设置标准要求，部门整体支出管理情况得到了提升，较好地完成了市场监管领域各项工作，</w:t>
      </w:r>
      <w:r>
        <w:rPr>
          <w:rFonts w:hint="eastAsia" w:ascii="仿宋_GB2312" w:eastAsia="仿宋_GB2312" w:cs="仿宋_GB2312"/>
          <w:color w:val="000000"/>
          <w:sz w:val="32"/>
          <w:szCs w:val="32"/>
          <w:shd w:val="clear" w:color="auto" w:fill="FFFFFF"/>
          <w:lang w:bidi="ar"/>
        </w:rPr>
        <w:t>单位</w:t>
      </w:r>
      <w:r>
        <w:rPr>
          <w:rFonts w:hint="eastAsia" w:ascii="Arial" w:hAnsi="Arial" w:eastAsia="仿宋_GB2312" w:cs="仿宋_GB2312"/>
          <w:sz w:val="32"/>
          <w:szCs w:val="32"/>
        </w:rPr>
        <w:t>整体支出绩效情况如下：</w:t>
      </w:r>
    </w:p>
    <w:p w14:paraId="2CF6CF66">
      <w:pPr>
        <w:pStyle w:val="17"/>
        <w:widowControl/>
        <w:spacing w:line="640" w:lineRule="exact"/>
        <w:ind w:firstLine="640"/>
        <w:rPr>
          <w:rFonts w:ascii="Times New Roman" w:hAnsi="Times New Roman" w:eastAsia="楷体_GB2312"/>
          <w:sz w:val="32"/>
          <w:szCs w:val="32"/>
        </w:rPr>
      </w:pPr>
      <w:r>
        <w:rPr>
          <w:rFonts w:hint="eastAsia" w:ascii="Times New Roman" w:hAnsi="Times New Roman" w:eastAsia="楷体_GB2312"/>
          <w:sz w:val="32"/>
          <w:szCs w:val="32"/>
        </w:rPr>
        <w:t>（一）整体目标完成情况</w:t>
      </w:r>
    </w:p>
    <w:p w14:paraId="137F40EB">
      <w:pPr>
        <w:spacing w:line="600" w:lineRule="exact"/>
        <w:ind w:firstLine="640" w:firstLineChars="200"/>
        <w:jc w:val="left"/>
        <w:rPr>
          <w:rFonts w:ascii="Times New Roman" w:hAnsi="Times New Roman" w:eastAsia="仿宋_GB2312"/>
          <w:color w:val="000000"/>
          <w:sz w:val="32"/>
          <w:szCs w:val="32"/>
        </w:rPr>
      </w:pPr>
      <w:r>
        <w:rPr>
          <w:rFonts w:ascii="仿宋_GB2312" w:hAnsi="仿宋_GB2312" w:eastAsia="仿宋_GB2312" w:cs="宋体"/>
          <w:kern w:val="2"/>
          <w:sz w:val="32"/>
          <w:szCs w:val="32"/>
        </w:rPr>
        <w:t>2023年</w:t>
      </w:r>
      <w:r>
        <w:rPr>
          <w:rFonts w:hint="eastAsia" w:ascii="仿宋_GB2312" w:hAnsi="仿宋_GB2312" w:eastAsia="仿宋_GB2312" w:cs="宋体"/>
          <w:kern w:val="2"/>
          <w:sz w:val="32"/>
          <w:szCs w:val="32"/>
        </w:rPr>
        <w:t>分局</w:t>
      </w:r>
      <w:r>
        <w:rPr>
          <w:rFonts w:hint="eastAsia" w:ascii="仿宋_GB2312" w:hAnsi="����" w:eastAsia="仿宋_GB2312" w:cs="宋体"/>
          <w:color w:val="000000"/>
          <w:sz w:val="32"/>
          <w:szCs w:val="32"/>
        </w:rPr>
        <w:t>年度总收入</w:t>
      </w:r>
      <w:r>
        <w:rPr>
          <w:rFonts w:ascii="仿宋_GB2312" w:hAnsi="����" w:eastAsia="仿宋_GB2312" w:cs="宋体"/>
          <w:color w:val="000000"/>
          <w:sz w:val="32"/>
          <w:szCs w:val="32"/>
        </w:rPr>
        <w:t>390.</w:t>
      </w:r>
      <w:r>
        <w:rPr>
          <w:rFonts w:hint="eastAsia" w:ascii="仿宋_GB2312" w:hAnsi="����" w:eastAsia="仿宋_GB2312" w:cs="宋体"/>
          <w:color w:val="000000"/>
          <w:sz w:val="32"/>
          <w:szCs w:val="32"/>
          <w:lang w:val="en-US" w:eastAsia="zh-CN"/>
        </w:rPr>
        <w:t>9</w:t>
      </w:r>
      <w:r>
        <w:rPr>
          <w:rFonts w:hint="eastAsia" w:ascii="仿宋_GB2312" w:hAnsi="����" w:eastAsia="仿宋_GB2312" w:cs="宋体"/>
          <w:color w:val="000000"/>
          <w:sz w:val="32"/>
          <w:szCs w:val="32"/>
        </w:rPr>
        <w:t>万元，实际经费支出为</w:t>
      </w:r>
      <w:r>
        <w:rPr>
          <w:rFonts w:ascii="仿宋_GB2312" w:hAnsi="����" w:eastAsia="仿宋_GB2312" w:cs="宋体"/>
          <w:color w:val="000000"/>
          <w:sz w:val="32"/>
          <w:szCs w:val="32"/>
        </w:rPr>
        <w:t>3</w:t>
      </w:r>
      <w:r>
        <w:rPr>
          <w:rFonts w:hint="eastAsia" w:ascii="仿宋_GB2312" w:hAnsi="����" w:eastAsia="仿宋_GB2312" w:cs="宋体"/>
          <w:color w:val="000000"/>
          <w:sz w:val="32"/>
          <w:szCs w:val="32"/>
        </w:rPr>
        <w:t>90</w:t>
      </w:r>
      <w:r>
        <w:rPr>
          <w:rFonts w:ascii="仿宋_GB2312" w:hAnsi="����" w:eastAsia="仿宋_GB2312" w:cs="宋体"/>
          <w:color w:val="000000"/>
          <w:sz w:val="32"/>
          <w:szCs w:val="32"/>
        </w:rPr>
        <w:t>.</w:t>
      </w:r>
      <w:r>
        <w:rPr>
          <w:rFonts w:hint="eastAsia" w:ascii="仿宋_GB2312" w:hAnsi="����" w:eastAsia="仿宋_GB2312" w:cs="宋体"/>
          <w:color w:val="000000"/>
          <w:sz w:val="32"/>
          <w:szCs w:val="32"/>
        </w:rPr>
        <w:t>83万元，结转结余资金为688.93元，全年经费支出严格控制在预算绩效目标设定范围内。</w:t>
      </w:r>
      <w:r>
        <w:rPr>
          <w:rFonts w:ascii="仿宋_GB2312" w:hAnsi="仿宋_GB2312" w:eastAsia="仿宋_GB2312" w:cs="宋体"/>
          <w:kern w:val="2"/>
          <w:sz w:val="32"/>
          <w:szCs w:val="32"/>
        </w:rPr>
        <w:t>对照年初绩效目标高质量完成了辖区内市场监管工作，</w:t>
      </w:r>
      <w:r>
        <w:rPr>
          <w:rFonts w:hint="eastAsia" w:ascii="仿宋_GB2312" w:hAnsi="仿宋_GB2312" w:eastAsia="仿宋_GB2312" w:cs="宋体"/>
          <w:kern w:val="2"/>
          <w:sz w:val="32"/>
          <w:szCs w:val="32"/>
        </w:rPr>
        <w:t>主动深入企业开展服务</w:t>
      </w:r>
      <w:r>
        <w:rPr>
          <w:rFonts w:ascii="仿宋_GB2312" w:hAnsi="仿宋_GB2312" w:eastAsia="仿宋_GB2312" w:cs="宋体"/>
          <w:kern w:val="2"/>
          <w:sz w:val="32"/>
          <w:szCs w:val="32"/>
        </w:rPr>
        <w:t>2</w:t>
      </w:r>
      <w:r>
        <w:rPr>
          <w:rFonts w:hint="eastAsia" w:ascii="仿宋_GB2312" w:hAnsi="仿宋_GB2312" w:eastAsia="仿宋_GB2312" w:cs="宋体"/>
          <w:kern w:val="2"/>
          <w:sz w:val="32"/>
          <w:szCs w:val="32"/>
        </w:rPr>
        <w:t>00多家次，开展各类监管检查</w:t>
      </w:r>
      <w:r>
        <w:rPr>
          <w:rFonts w:hint="eastAsia" w:ascii="仿宋_GB2312" w:hAnsi="仿宋_GB2312" w:eastAsia="仿宋_GB2312" w:cs="宋体"/>
          <w:kern w:val="2"/>
          <w:sz w:val="32"/>
          <w:szCs w:val="32"/>
          <w:lang w:val="en-US" w:eastAsia="zh-CN"/>
        </w:rPr>
        <w:t>2</w:t>
      </w:r>
      <w:r>
        <w:rPr>
          <w:rFonts w:hint="eastAsia" w:ascii="仿宋_GB2312" w:hAnsi="仿宋_GB2312" w:eastAsia="仿宋_GB2312" w:cs="宋体"/>
          <w:kern w:val="2"/>
          <w:sz w:val="32"/>
          <w:szCs w:val="32"/>
        </w:rPr>
        <w:t>400余次，为企业提供知识产权综合服务600多次，为企业开展知识产权质押融资2000多万；</w:t>
      </w:r>
      <w:r>
        <w:rPr>
          <w:rFonts w:hint="eastAsia" w:ascii="仿宋_GB2312" w:hAnsi="仿宋_GB2312" w:eastAsia="仿宋_GB2312" w:cs="仿宋_GB2312"/>
          <w:sz w:val="32"/>
          <w:szCs w:val="32"/>
        </w:rPr>
        <w:t>新港区实现国外专利零的突破，新港区已授权2件国外专利PCT。1-10月新港区专利授权量为284件，其中发明专利授权量为63件，同比增长61.5%，增长率排名全市第二；有效发明专利总量309件，有效发明专利万人拥有量93.92件，排全市第一。</w:t>
      </w:r>
      <w:r>
        <w:rPr>
          <w:rFonts w:hint="eastAsia" w:ascii="仿宋_GB2312" w:hAnsi="宋体" w:eastAsia="仿宋_GB2312" w:cs="仿宋_GB2312"/>
          <w:color w:val="000000"/>
          <w:sz w:val="31"/>
          <w:szCs w:val="31"/>
          <w:shd w:val="clear" w:color="auto" w:fill="FFFFFF"/>
        </w:rPr>
        <w:t>受理各类消费投诉、咨询、举报、信访725起，</w:t>
      </w:r>
      <w:r>
        <w:rPr>
          <w:rFonts w:hint="eastAsia" w:ascii="仿宋_GB2312" w:hAnsi="仿宋_GB2312" w:eastAsia="仿宋_GB2312" w:cs="仿宋_GB2312"/>
          <w:sz w:val="32"/>
          <w:szCs w:val="32"/>
        </w:rPr>
        <w:t>市长信箱、信访件13件，</w:t>
      </w:r>
      <w:r>
        <w:rPr>
          <w:rFonts w:hint="eastAsia" w:ascii="仿宋_GB2312" w:hAnsi="宋体" w:eastAsia="仿宋_GB2312" w:cs="仿宋_GB2312"/>
          <w:color w:val="000000"/>
          <w:sz w:val="31"/>
          <w:szCs w:val="31"/>
          <w:shd w:val="clear" w:color="auto" w:fill="FFFFFF"/>
        </w:rPr>
        <w:t>办结率达到100%，共为消费者挽回经济损失88.6余万元；12315效能评估排在全市第一位。综合考评被评为</w:t>
      </w:r>
      <w:r>
        <w:rPr>
          <w:rFonts w:ascii="仿宋_GB2312" w:hAnsi="宋体" w:eastAsia="仿宋_GB2312" w:cs="仿宋_GB2312"/>
          <w:color w:val="000000"/>
          <w:sz w:val="31"/>
          <w:szCs w:val="31"/>
          <w:shd w:val="clear" w:color="auto" w:fill="FFFFFF"/>
        </w:rPr>
        <w:t>2023年度全市市场监管系统综合绩效考核“先进单位”。</w:t>
      </w:r>
    </w:p>
    <w:p w14:paraId="13EA2814">
      <w:pPr>
        <w:pStyle w:val="17"/>
        <w:widowControl/>
        <w:spacing w:line="640" w:lineRule="exact"/>
        <w:ind w:firstLine="640"/>
        <w:rPr>
          <w:rFonts w:ascii="Times New Roman" w:hAnsi="Times New Roman" w:eastAsia="楷体_GB2312"/>
          <w:sz w:val="32"/>
          <w:szCs w:val="32"/>
        </w:rPr>
      </w:pPr>
      <w:r>
        <w:rPr>
          <w:rFonts w:hint="eastAsia" w:ascii="Times New Roman" w:hAnsi="Times New Roman" w:eastAsia="楷体_GB2312"/>
          <w:sz w:val="32"/>
          <w:szCs w:val="32"/>
        </w:rPr>
        <w:t>（二）资金投入产出效益</w:t>
      </w:r>
    </w:p>
    <w:p w14:paraId="19103D4B">
      <w:pPr>
        <w:spacing w:line="600" w:lineRule="exact"/>
        <w:ind w:firstLine="640" w:firstLineChars="200"/>
        <w:jc w:val="left"/>
        <w:rPr>
          <w:rFonts w:ascii="仿宋_GB2312" w:hAnsi="仿宋_GB2312" w:eastAsia="仿宋_GB2312" w:cs="仿宋_GB2312"/>
          <w:color w:val="000000"/>
          <w:kern w:val="2"/>
          <w:sz w:val="32"/>
          <w:szCs w:val="32"/>
        </w:rPr>
      </w:pPr>
      <w:r>
        <w:rPr>
          <w:rFonts w:hint="eastAsia" w:ascii="楷体" w:hAnsi="楷体" w:eastAsia="楷体" w:cs="楷体"/>
          <w:bCs/>
          <w:sz w:val="32"/>
          <w:szCs w:val="32"/>
        </w:rPr>
        <w:t>（1）深化商事制度改革，做优做实</w:t>
      </w:r>
      <w:r>
        <w:rPr>
          <w:rFonts w:hint="eastAsia" w:ascii="楷体" w:hAnsi="楷体" w:eastAsia="楷体" w:cs="楷体"/>
          <w:bCs/>
          <w:color w:val="000000"/>
          <w:kern w:val="2"/>
          <w:sz w:val="32"/>
          <w:szCs w:val="32"/>
        </w:rPr>
        <w:t>营商环境和发展环境。</w:t>
      </w:r>
      <w:r>
        <w:rPr>
          <w:rFonts w:hint="eastAsia" w:ascii="仿宋_GB2312" w:hAnsi="仿宋_GB2312" w:eastAsia="仿宋_GB2312" w:cs="仿宋_GB2312"/>
          <w:kern w:val="2"/>
          <w:sz w:val="32"/>
          <w:szCs w:val="32"/>
        </w:rPr>
        <w:t>立足已有条件，完善分局人员和设施配备，保障省、市下放的27项行政审批权限和48项复制推广改革事项在自贸片区全面承接到位。率先在全市推出市场主体登记注册“二维码”</w:t>
      </w:r>
      <w:r>
        <w:rPr>
          <w:rFonts w:hint="eastAsia" w:ascii="仿宋_GB2312" w:hAnsi="仿宋_GB2312" w:eastAsia="仿宋_GB2312" w:cs="仿宋_GB2312"/>
          <w:color w:val="000000"/>
          <w:kern w:val="2"/>
          <w:sz w:val="32"/>
          <w:szCs w:val="32"/>
        </w:rPr>
        <w:t>和群众自助申报“演示视频”，为群众办事带来更好体验感和便利度；</w:t>
      </w:r>
      <w:r>
        <w:rPr>
          <w:rFonts w:hint="eastAsia" w:ascii="仿宋_GB2312" w:hAnsi="仿宋_GB2312" w:eastAsia="仿宋_GB2312" w:cs="仿宋_GB2312"/>
          <w:kern w:val="2"/>
          <w:sz w:val="32"/>
          <w:szCs w:val="32"/>
        </w:rPr>
        <w:t>率先在岳阳自贸片区颁发中国（湖南）自由贸易试验区第一张商业保理营业执照。</w:t>
      </w:r>
      <w:r>
        <w:rPr>
          <w:rFonts w:hint="eastAsia" w:ascii="仿宋_GB2312" w:hAnsi="仿宋_GB2312" w:eastAsia="仿宋_GB2312" w:cs="仿宋_GB2312"/>
          <w:color w:val="000000"/>
          <w:kern w:val="2"/>
          <w:sz w:val="32"/>
          <w:szCs w:val="32"/>
        </w:rPr>
        <w:t>今年发展市场主体1350户，其中企业1146户，个体204户。</w:t>
      </w:r>
    </w:p>
    <w:p w14:paraId="1F0C184D">
      <w:pPr>
        <w:spacing w:line="600" w:lineRule="exact"/>
        <w:ind w:firstLine="640" w:firstLineChars="200"/>
        <w:jc w:val="left"/>
        <w:rPr>
          <w:rFonts w:ascii="仿宋_GB2312" w:hAnsi="仿宋_GB2312" w:eastAsia="仿宋_GB2312"/>
          <w:color w:val="0000FF"/>
          <w:sz w:val="32"/>
        </w:rPr>
      </w:pPr>
      <w:r>
        <w:rPr>
          <w:rFonts w:hint="eastAsia" w:ascii="楷体_GB2312" w:hAnsi="楷体_GB2312" w:eastAsia="楷体_GB2312" w:cs="楷体_GB2312"/>
          <w:bCs/>
          <w:sz w:val="32"/>
          <w:szCs w:val="32"/>
        </w:rPr>
        <w:t>（2）建好用好风补资金，争取更多社会资本支持实体企业。</w:t>
      </w:r>
      <w:r>
        <w:rPr>
          <w:rFonts w:hint="eastAsia" w:ascii="仿宋_GB2312" w:hAnsi="仿宋_GB2312" w:eastAsia="仿宋_GB2312" w:cs="仿宋_GB2312"/>
          <w:sz w:val="32"/>
          <w:szCs w:val="32"/>
          <w:lang w:bidi="ar"/>
        </w:rPr>
        <w:t>加强知识产权质押融资政策供给，“以知换资”激发市场主体活力，</w:t>
      </w:r>
      <w:r>
        <w:rPr>
          <w:rFonts w:hint="eastAsia" w:ascii="仿宋_GB2312" w:hAnsi="仿宋_GB2312" w:eastAsia="仿宋_GB2312" w:cs="仿宋_GB2312"/>
          <w:sz w:val="32"/>
          <w:szCs w:val="32"/>
        </w:rPr>
        <w:t>岳阳自贸片区形成“市场化的知识产权质押融资风险补偿机制”，2023年1月被国家知识产权局办公室等部门联合发文推广，2023年12月被湖南省政府发文表扬，帮助分局</w:t>
      </w:r>
      <w:r>
        <w:rPr>
          <w:rFonts w:hint="eastAsia" w:ascii="仿宋_GB2312" w:hAnsi="仿宋_GB2312" w:eastAsia="仿宋_GB2312" w:cs="仿宋_GB2312"/>
          <w:kern w:val="2"/>
          <w:sz w:val="32"/>
          <w:szCs w:val="32"/>
        </w:rPr>
        <w:t>成功申报省级园区中小企业转化项目并争取到100万项目资金。2023年12月28日，在国家知识产权局办公室公布的首批参加“千企百城”商标品牌价值提升行动名单中，岳阳市1个商标品牌指导站和4个品牌榜上有名，新港区占2个，新港区市场监管分局作为“建设单位”的湖南省知识产权综合服务（岳阳）分中心入选“商标品牌指导站”，岳阳林纸股份有限公司的“天岳”入选“企业商标品牌”。</w:t>
      </w:r>
    </w:p>
    <w:p w14:paraId="2E0D0256">
      <w:pPr>
        <w:pStyle w:val="4"/>
        <w:spacing w:line="600" w:lineRule="exact"/>
        <w:ind w:firstLine="640" w:firstLineChars="200"/>
        <w:jc w:val="left"/>
        <w:rPr>
          <w:rFonts w:ascii="仿宋_GB2312" w:hAnsi="仿宋_GB2312" w:eastAsia="仿宋_GB2312" w:cs="仿宋_GB2312"/>
          <w:sz w:val="32"/>
          <w:szCs w:val="32"/>
          <w:lang w:eastAsia="zh-CN"/>
        </w:rPr>
      </w:pPr>
      <w:r>
        <w:rPr>
          <w:rFonts w:hint="eastAsia" w:ascii="楷体_GB2312" w:hAnsi="楷体_GB2312" w:eastAsia="楷体_GB2312" w:cs="楷体_GB2312"/>
          <w:bCs/>
          <w:kern w:val="2"/>
          <w:sz w:val="32"/>
          <w:szCs w:val="32"/>
          <w:lang w:eastAsia="zh-CN"/>
        </w:rPr>
        <w:t>（3）狠抓知产赋能工作，助推科技型中小微企业创新发展。</w:t>
      </w:r>
      <w:r>
        <w:rPr>
          <w:rFonts w:hint="eastAsia" w:ascii="仿宋_GB2312" w:hAnsi="仿宋_GB2312" w:eastAsia="仿宋_GB2312" w:cs="仿宋_GB2312"/>
          <w:kern w:val="2"/>
          <w:sz w:val="32"/>
          <w:szCs w:val="32"/>
          <w:lang w:eastAsia="zh-CN"/>
        </w:rPr>
        <w:t>2023年1-11月，全区授权专利327，其中发明专利授权70件，同比增长70.73%，有效发明专利总量为312件，万人拥有量为94.833，排名全市第一。湖南中创空天新材料有限公司获批国家知识产权优势企业；湖南砼微新材料有限公司和湖南哈工聚能科技有限公司成功申请并授权2件PCT专利，新港区PCT专利实现“破零”；岳阳林纸股份有限公司的发明专利“一种棁水棁冻牛皮纸的制造方法”已通过湖南省专利奖初审；湖南六九零六信息科技股份有限公司、湖南中创空天新材料股份有限公司、际华橡胶工业有限公司3家企业获得省知识产权保护中心预审备案资格。目前全区共有国家知识产权优势企业2家，省级商业秘密保护示范企业（站）3个，国家企业品牌1个，国际PCT专利2件等荣誉。</w:t>
      </w:r>
      <w:r>
        <w:rPr>
          <w:rFonts w:hint="eastAsia" w:ascii="仿宋_GB2312" w:hAnsi="仿宋_GB2312" w:eastAsia="仿宋_GB2312" w:cs="仿宋_GB2312"/>
          <w:sz w:val="32"/>
          <w:szCs w:val="32"/>
          <w:lang w:eastAsia="zh-CN"/>
        </w:rPr>
        <w:t>2023年，新港区海外专利实现零的突破，共授权2件国外专利PCT。</w:t>
      </w:r>
    </w:p>
    <w:p w14:paraId="441F7835">
      <w:pPr>
        <w:topLinePunct/>
        <w:spacing w:line="600" w:lineRule="exact"/>
        <w:ind w:firstLine="640" w:firstLineChars="200"/>
        <w:jc w:val="left"/>
        <w:rPr>
          <w:rFonts w:ascii="仿宋_GB2312" w:hAnsi="仿宋_GB2312" w:eastAsia="仿宋_GB2312" w:cs="仿宋_GB2312"/>
          <w:sz w:val="32"/>
          <w:szCs w:val="32"/>
          <w:lang w:bidi="ar"/>
        </w:rPr>
      </w:pPr>
      <w:r>
        <w:rPr>
          <w:rFonts w:hint="eastAsia" w:ascii="楷体_GB2312" w:hAnsi="楷体_GB2312" w:eastAsia="楷体_GB2312" w:cs="楷体_GB2312"/>
          <w:bCs/>
          <w:sz w:val="32"/>
          <w:szCs w:val="32"/>
          <w:lang w:bidi="ar"/>
        </w:rPr>
        <w:t>（4）加强食品和药品安全监管，守护群众舌尖安全。</w:t>
      </w:r>
      <w:r>
        <w:rPr>
          <w:rFonts w:hint="eastAsia" w:ascii="仿宋_GB2312" w:hAnsi="仿宋_GB2312" w:eastAsia="仿宋_GB2312" w:cs="仿宋_GB2312"/>
          <w:sz w:val="32"/>
          <w:szCs w:val="32"/>
          <w:lang w:bidi="ar"/>
        </w:rPr>
        <w:t>今年来，分局扎实推进食品安全“两个责任”机制工作落实，先后开展了“反食品浪费暨文明餐桌公益宣传”“517预防野生蘑菇中毒宣传日”“特殊食品科普宣传”等食品安全宣传活动，通过政策宣贯</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日常监管</w:t>
      </w:r>
      <w:r>
        <w:rPr>
          <w:rFonts w:hint="eastAsia" w:ascii="仿宋_GB2312" w:hAnsi="仿宋_GB2312" w:eastAsia="仿宋_GB2312" w:cs="仿宋_GB2312"/>
          <w:sz w:val="32"/>
          <w:szCs w:val="32"/>
          <w:lang w:val="en-US" w:eastAsia="zh-CN" w:bidi="ar"/>
        </w:rPr>
        <w:t>和</w:t>
      </w:r>
      <w:r>
        <w:rPr>
          <w:rFonts w:hint="eastAsia" w:ascii="仿宋_GB2312" w:hAnsi="仿宋_GB2312" w:eastAsia="仿宋_GB2312" w:cs="仿宋_GB2312"/>
          <w:sz w:val="32"/>
          <w:szCs w:val="32"/>
          <w:lang w:bidi="ar"/>
        </w:rPr>
        <w:t>从业人员进行专业知识培训</w:t>
      </w:r>
      <w:r>
        <w:rPr>
          <w:rFonts w:hint="eastAsia" w:ascii="仿宋_GB2312" w:hAnsi="仿宋_GB2312" w:eastAsia="仿宋_GB2312" w:cs="仿宋_GB2312"/>
          <w:sz w:val="32"/>
          <w:szCs w:val="32"/>
          <w:lang w:bidi="ar"/>
        </w:rPr>
        <w:t>，进一步压紧压实药品、医疗器械零售企业主体责任，同时加强重点品种监督抽检和常态化药品、化妆品、医疗器械监管。今年来，我局监管覆盖率达到了100%，通过日常监督及专项检查，下达责令改正通知书18份，食品相关行政指导200余次。全年无无重大安全事故。</w:t>
      </w:r>
    </w:p>
    <w:p w14:paraId="0653505D">
      <w:pPr>
        <w:topLinePunct/>
        <w:spacing w:line="600" w:lineRule="exact"/>
        <w:ind w:firstLine="640" w:firstLineChars="200"/>
        <w:jc w:val="left"/>
        <w:rPr>
          <w:rFonts w:ascii="仿宋_GB2312" w:hAnsi="仿宋_GB2312" w:eastAsia="仿宋_GB2312" w:cs="仿宋_GB2312"/>
          <w:sz w:val="32"/>
          <w:szCs w:val="32"/>
        </w:rPr>
      </w:pPr>
      <w:r>
        <w:rPr>
          <w:rFonts w:hint="eastAsia" w:ascii="楷体_GB2312" w:hAnsi="楷体_GB2312" w:eastAsia="楷体_GB2312" w:cs="楷体_GB2312"/>
          <w:bCs/>
          <w:sz w:val="32"/>
          <w:szCs w:val="32"/>
          <w:lang w:bidi="ar"/>
        </w:rPr>
        <w:t>（5）加强特种设备和工业产品质量监管，夯实安全生产基础。</w:t>
      </w:r>
      <w:r>
        <w:rPr>
          <w:rFonts w:hint="eastAsia" w:ascii="仿宋_GB2312" w:hAnsi="仿宋_GB2312" w:eastAsia="仿宋_GB2312" w:cs="仿宋_GB2312"/>
          <w:sz w:val="32"/>
          <w:szCs w:val="32"/>
        </w:rPr>
        <w:t>今年我们围绕电梯、叉车、集装箱码头起重设备、加氢站等重点对象，开展日常监管监察，实现全覆盖监管、全方位整治；针对商场超市电取暖器、燃气灶具、电动自行车等质量安全风险高的重点工业产品进行监督检查,重点整治不按规定出具合格证、产品质量不符合标准要求,以及无证生产和超范围生产等质量违法行为。今年来，我们组织开展2场大型港区“百家企业学法”专题讲座，向特种设备使用单位宣贯了国家总局73号、74号令和法律法规常识，通过监督检查发现安全隐患73起，立案5起，结案5起，开展工业产品质量双随机一公开监管及车检机构检查，发现违法行为1起，立案1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结案</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起。</w:t>
      </w:r>
    </w:p>
    <w:p w14:paraId="453EC1B9">
      <w:pPr>
        <w:pStyle w:val="17"/>
        <w:widowControl/>
        <w:snapToGrid w:val="0"/>
        <w:spacing w:line="600" w:lineRule="exact"/>
        <w:ind w:firstLine="640"/>
        <w:jc w:val="left"/>
        <w:rPr>
          <w:rFonts w:ascii="仿宋_GB2312" w:hAnsi="仿宋_GB2312" w:eastAsia="仿宋_GB2312" w:cs="仿宋_GB2312"/>
          <w:sz w:val="32"/>
          <w:szCs w:val="32"/>
        </w:rPr>
      </w:pPr>
      <w:r>
        <w:rPr>
          <w:rFonts w:hint="eastAsia" w:ascii="楷体_GB2312" w:hAnsi="楷体_GB2312" w:eastAsia="楷体_GB2312" w:cs="楷体_GB2312"/>
          <w:bCs/>
          <w:sz w:val="32"/>
          <w:szCs w:val="32"/>
          <w:lang w:bidi="ar"/>
        </w:rPr>
        <w:t>（6）加强投诉处理和涉外消费维权，营造放心消费环境。</w:t>
      </w:r>
      <w:r>
        <w:rPr>
          <w:rFonts w:hint="eastAsia" w:ascii="仿宋_GB2312" w:hAnsi="仿宋_GB2312" w:eastAsia="仿宋_GB2312" w:cs="仿宋_GB2312"/>
          <w:sz w:val="32"/>
          <w:szCs w:val="32"/>
        </w:rPr>
        <w:t>为提振群众消费信心、营造放心消费环境，我们深入消费者投诉热点地域临港汽车城，想办法把消费解决在销售环节，主动化解消费纠纷，同时深入超市门店，就商品包装、食品保质期、标签等容易被职业打假人利用的方面，进行帮带指导，避免遭职业打假人索赔，全力维护消费市场秩序。今年来，</w:t>
      </w:r>
      <w:r>
        <w:rPr>
          <w:rFonts w:hint="eastAsia" w:ascii="仿宋_GB2312" w:hAnsi="宋体" w:eastAsia="仿宋_GB2312" w:cs="仿宋_GB2312"/>
          <w:color w:val="000000"/>
          <w:sz w:val="31"/>
          <w:szCs w:val="31"/>
          <w:shd w:val="clear" w:color="auto" w:fill="FFFFFF"/>
        </w:rPr>
        <w:t>共受理各类消费投诉、咨询、举报、信访725起，</w:t>
      </w:r>
      <w:r>
        <w:rPr>
          <w:rFonts w:hint="eastAsia" w:ascii="仿宋_GB2312" w:hAnsi="仿宋_GB2312" w:eastAsia="仿宋_GB2312" w:cs="仿宋_GB2312"/>
          <w:sz w:val="32"/>
          <w:szCs w:val="32"/>
        </w:rPr>
        <w:t>市长信箱、信访件13件，</w:t>
      </w:r>
      <w:r>
        <w:rPr>
          <w:rFonts w:hint="eastAsia" w:ascii="仿宋_GB2312" w:hAnsi="宋体" w:eastAsia="仿宋_GB2312" w:cs="仿宋_GB2312"/>
          <w:color w:val="000000"/>
          <w:sz w:val="31"/>
          <w:szCs w:val="31"/>
          <w:shd w:val="clear" w:color="auto" w:fill="FFFFFF"/>
        </w:rPr>
        <w:t>办结率100%，共为消费者挽回经济损失88.6余万元；12315效能评估排在全市第一位。</w:t>
      </w:r>
      <w:r>
        <w:rPr>
          <w:rFonts w:hint="eastAsia" w:ascii="仿宋_GB2312" w:hAnsi="仿宋_GB2312" w:eastAsia="仿宋_GB2312" w:cs="仿宋_GB2312"/>
          <w:sz w:val="32"/>
          <w:szCs w:val="32"/>
        </w:rPr>
        <w:t>为解决消费者“买全球”的后顾之忧，我们充分发挥涉外消费维权服务站作用，今年来，共处理跨境商品消费维权894件，为消费者挽回经济损失390.15万元。</w:t>
      </w:r>
    </w:p>
    <w:p w14:paraId="139AAA0E">
      <w:pPr>
        <w:pStyle w:val="17"/>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七、存在的问题及原因分析</w:t>
      </w:r>
    </w:p>
    <w:p w14:paraId="33C6FB9D">
      <w:pPr>
        <w:widowControl/>
        <w:spacing w:line="6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一是分局</w:t>
      </w:r>
      <w:r>
        <w:rPr>
          <w:rFonts w:hint="eastAsia" w:ascii="仿宋_GB2312" w:hAnsi="仿宋_GB2312" w:eastAsia="仿宋_GB2312" w:cs="仿宋_GB2312"/>
          <w:sz w:val="32"/>
          <w:szCs w:val="32"/>
        </w:rPr>
        <w:t>2023</w:t>
      </w:r>
      <w:r>
        <w:rPr>
          <w:rFonts w:hint="eastAsia" w:ascii="Times New Roman" w:hAnsi="Times New Roman" w:eastAsia="仿宋_GB2312"/>
          <w:sz w:val="32"/>
          <w:szCs w:val="32"/>
        </w:rPr>
        <w:t>年预算编制与执行整体虽控制较好，但预算编制与实际支出项目存在差异，只得在预算范围内进行局部调整，预算编制有待进一步精确细化。</w:t>
      </w:r>
    </w:p>
    <w:p w14:paraId="73AF8EF9">
      <w:pPr>
        <w:widowControl/>
        <w:spacing w:line="6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二是在预算绩效管理方面，跟踪监管还不够及时到位，导致分局预算执行项目间还存在些许偏差。</w:t>
      </w:r>
    </w:p>
    <w:p w14:paraId="310CD79A">
      <w:pPr>
        <w:widowControl/>
        <w:spacing w:line="640" w:lineRule="exact"/>
        <w:ind w:firstLine="640" w:firstLineChars="200"/>
        <w:rPr>
          <w:rFonts w:ascii="Times New Roman" w:hAnsi="Times New Roman" w:eastAsia="黑体"/>
          <w:sz w:val="32"/>
          <w:szCs w:val="32"/>
        </w:rPr>
      </w:pPr>
      <w:r>
        <w:rPr>
          <w:rFonts w:ascii="Times New Roman" w:hAnsi="Times New Roman" w:eastAsia="黑体"/>
          <w:sz w:val="32"/>
          <w:szCs w:val="32"/>
        </w:rPr>
        <w:t>八、下一步改进措施</w:t>
      </w:r>
    </w:p>
    <w:p w14:paraId="54B7ED36">
      <w:pPr>
        <w:pStyle w:val="9"/>
        <w:widowControl/>
        <w:spacing w:beforeAutospacing="0" w:afterAutospacing="0" w:line="560" w:lineRule="exact"/>
        <w:ind w:firstLine="640" w:firstLineChars="200"/>
        <w:rPr>
          <w:rFonts w:ascii="Times New Roman" w:hAnsi="Times New Roman" w:eastAsia="黑体"/>
          <w:sz w:val="32"/>
          <w:szCs w:val="32"/>
        </w:rPr>
      </w:pPr>
      <w:r>
        <w:rPr>
          <w:rFonts w:hint="eastAsia" w:ascii="仿宋_GB2312" w:hAnsi="仿宋_GB2312" w:eastAsia="仿宋_GB2312" w:cs="仿宋_GB2312"/>
          <w:kern w:val="2"/>
          <w:sz w:val="32"/>
          <w:szCs w:val="32"/>
        </w:rPr>
        <w:t>在今后的工作中，一是严格按照预算编制要求，紧密结合分局实际需求，在充分论证的基础上，对部门整体预算各项经费收支进行分类细化、精准测算，确实做到“应编尽编、精确细化”。二是严格落实专项经费使用管理规定，做到专款专用;同时按规定要求组织对</w:t>
      </w:r>
      <w:r>
        <w:rPr>
          <w:rFonts w:hint="eastAsia" w:ascii="仿宋_GB2312" w:hAnsi="仿宋_GB2312" w:eastAsia="仿宋_GB2312" w:cs="仿宋_GB2312"/>
          <w:kern w:val="2"/>
          <w:sz w:val="32"/>
          <w:szCs w:val="32"/>
          <w:lang w:val="en-US" w:eastAsia="zh-CN"/>
        </w:rPr>
        <w:t>我</w:t>
      </w:r>
      <w:r>
        <w:rPr>
          <w:rFonts w:hint="eastAsia" w:ascii="仿宋_GB2312" w:hAnsi="仿宋_GB2312" w:eastAsia="仿宋_GB2312" w:cs="仿宋_GB2312"/>
          <w:kern w:val="2"/>
          <w:sz w:val="32"/>
          <w:szCs w:val="32"/>
        </w:rPr>
        <w:t>局年度预算进行及时调整追加，以保证预算执行准确，提高预算管理质效。三是严格按照预算绩效管理要求，对各项目预算绩效目标执行情况进行跟踪监管，并定期开展预算执行情况分析，确保预算绩效目标执行到位。</w:t>
      </w:r>
    </w:p>
    <w:p w14:paraId="2F140849">
      <w:pPr>
        <w:widowControl/>
        <w:spacing w:line="640" w:lineRule="exact"/>
        <w:ind w:firstLine="640" w:firstLineChars="200"/>
        <w:rPr>
          <w:rFonts w:ascii="Times New Roman" w:hAnsi="Times New Roman" w:eastAsia="黑体"/>
          <w:sz w:val="32"/>
          <w:szCs w:val="32"/>
        </w:rPr>
      </w:pPr>
      <w:r>
        <w:rPr>
          <w:rFonts w:ascii="Times New Roman" w:hAnsi="Times New Roman" w:eastAsia="黑体"/>
          <w:sz w:val="32"/>
          <w:szCs w:val="32"/>
        </w:rPr>
        <w:t>九、部门整体支出绩效自评结果拟应用和公开情况</w:t>
      </w:r>
    </w:p>
    <w:p w14:paraId="2E8E9FED">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rPr>
        <w:t>局严格按照财政管理要求，组织认真开展了绩效自评工作，对2023年度部门整体支出绩效和各项目支出的绩效目标的设立情况、财政资金落实、使用情况、项目管理、财务管理以及为完成绩效目标制定的资金管理制度和措施等办法、项目产出效益进行了全面客观自评</w:t>
      </w:r>
      <w:r>
        <w:rPr>
          <w:rFonts w:ascii="Times New Roman" w:hAnsi="Times New Roman" w:eastAsia="仿宋_GB2312"/>
          <w:sz w:val="32"/>
          <w:szCs w:val="32"/>
        </w:rPr>
        <w:t>，进一步掌握了资金使用情况和取得的效果，总结了资金管理经验，为今后完善年初预算编制、加强资金使用管理、健全资金支出项目、提高资金绩效管理、加大资金使用效益工作提供了重要的参考依据。</w:t>
      </w:r>
      <w:r>
        <w:rPr>
          <w:rFonts w:hint="eastAsia" w:ascii="仿宋_GB2312" w:hAnsi="仿宋_GB2312" w:eastAsia="仿宋_GB2312" w:cs="仿宋_GB2312"/>
          <w:sz w:val="32"/>
          <w:szCs w:val="32"/>
        </w:rPr>
        <w:t>根据部门整体支出绩效评价指标体系，分局2023年度自评得分</w:t>
      </w:r>
      <w:r>
        <w:rPr>
          <w:rFonts w:hint="eastAsia" w:ascii="仿宋_GB2312" w:hAnsi="仿宋_GB2312" w:eastAsia="仿宋_GB2312" w:cs="仿宋_GB2312"/>
          <w:sz w:val="32"/>
          <w:szCs w:val="32"/>
          <w:lang w:val="en-US" w:eastAsia="zh-CN"/>
        </w:rPr>
        <w:t>97.9</w:t>
      </w:r>
      <w:r>
        <w:rPr>
          <w:rFonts w:hint="eastAsia" w:ascii="仿宋_GB2312" w:hAnsi="仿宋_GB2312" w:eastAsia="仿宋_GB2312" w:cs="仿宋_GB2312"/>
          <w:sz w:val="32"/>
          <w:szCs w:val="32"/>
        </w:rPr>
        <w:t>分（部门整体支出绩效情况见附表）。</w:t>
      </w:r>
    </w:p>
    <w:p w14:paraId="309A24E9">
      <w:pPr>
        <w:widowControl/>
        <w:ind w:firstLine="640" w:firstLineChars="200"/>
        <w:rPr>
          <w:rFonts w:ascii="仿宋_GB2312" w:hAnsi="仿宋_GB2312" w:eastAsia="仿宋_GB2312" w:cs="仿宋_GB2312"/>
          <w:sz w:val="32"/>
          <w:szCs w:val="32"/>
        </w:rPr>
      </w:pPr>
      <w:r>
        <w:rPr>
          <w:rFonts w:ascii="Times New Roman" w:hAnsi="Times New Roman" w:eastAsia="仿宋_GB2312"/>
          <w:sz w:val="32"/>
          <w:szCs w:val="32"/>
        </w:rPr>
        <w:t>部门整体支出绩效自评报告</w:t>
      </w:r>
      <w:r>
        <w:rPr>
          <w:rFonts w:hint="eastAsia" w:ascii="Times New Roman" w:hAnsi="Times New Roman" w:eastAsia="仿宋_GB2312"/>
          <w:sz w:val="32"/>
          <w:szCs w:val="32"/>
        </w:rPr>
        <w:t>将严格</w:t>
      </w:r>
      <w:r>
        <w:rPr>
          <w:rFonts w:ascii="仿宋_GB2312" w:hAnsi="仿宋_GB2312" w:eastAsia="仿宋_GB2312" w:cs="仿宋_GB2312"/>
          <w:sz w:val="32"/>
          <w:szCs w:val="32"/>
        </w:rPr>
        <w:t>按照财政要求</w:t>
      </w:r>
      <w:r>
        <w:rPr>
          <w:rFonts w:hint="eastAsia" w:ascii="仿宋_GB2312" w:hAnsi="仿宋_GB2312" w:eastAsia="仿宋_GB2312" w:cs="仿宋_GB2312"/>
          <w:sz w:val="32"/>
          <w:szCs w:val="32"/>
        </w:rPr>
        <w:t>于</w:t>
      </w:r>
      <w:r>
        <w:rPr>
          <w:rFonts w:ascii="仿宋_GB2312" w:hAnsi="仿宋_GB2312" w:eastAsia="仿宋_GB2312" w:cs="仿宋_GB2312"/>
          <w:sz w:val="32"/>
          <w:szCs w:val="32"/>
        </w:rPr>
        <w:t>规定时间内在</w:t>
      </w:r>
      <w:r>
        <w:rPr>
          <w:rFonts w:hint="eastAsia" w:ascii="仿宋_GB2312" w:hAnsi="仿宋_GB2312" w:eastAsia="仿宋_GB2312" w:cs="仿宋_GB2312"/>
          <w:sz w:val="32"/>
          <w:szCs w:val="32"/>
        </w:rPr>
        <w:t>岳阳市市场监督管理</w:t>
      </w:r>
      <w:r>
        <w:rPr>
          <w:rFonts w:ascii="仿宋_GB2312" w:hAnsi="仿宋_GB2312" w:eastAsia="仿宋_GB2312" w:cs="仿宋_GB2312"/>
          <w:sz w:val="32"/>
          <w:szCs w:val="32"/>
        </w:rPr>
        <w:t>局官网上进行</w:t>
      </w:r>
      <w:r>
        <w:rPr>
          <w:rFonts w:hint="eastAsia" w:ascii="仿宋_GB2312" w:hAnsi="仿宋_GB2312" w:eastAsia="仿宋_GB2312" w:cs="仿宋_GB2312"/>
          <w:sz w:val="32"/>
          <w:szCs w:val="32"/>
        </w:rPr>
        <w:t>了及时</w:t>
      </w:r>
      <w:r>
        <w:rPr>
          <w:rFonts w:ascii="仿宋_GB2312" w:hAnsi="仿宋_GB2312" w:eastAsia="仿宋_GB2312" w:cs="仿宋_GB2312"/>
          <w:sz w:val="32"/>
          <w:szCs w:val="32"/>
        </w:rPr>
        <w:t>公开</w:t>
      </w:r>
      <w:r>
        <w:rPr>
          <w:rFonts w:hint="eastAsia" w:ascii="仿宋_GB2312" w:hAnsi="仿宋_GB2312" w:eastAsia="仿宋_GB2312" w:cs="仿宋_GB2312"/>
          <w:sz w:val="32"/>
          <w:szCs w:val="32"/>
        </w:rPr>
        <w:t>。</w:t>
      </w:r>
    </w:p>
    <w:p w14:paraId="2486C202">
      <w:pPr>
        <w:widowControl/>
        <w:spacing w:line="6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十、</w:t>
      </w:r>
      <w:r>
        <w:rPr>
          <w:rFonts w:ascii="Times New Roman" w:hAnsi="Times New Roman" w:eastAsia="黑体"/>
          <w:sz w:val="32"/>
          <w:szCs w:val="32"/>
        </w:rPr>
        <w:t>其他需要说明的情况</w:t>
      </w:r>
    </w:p>
    <w:p w14:paraId="60CD8584">
      <w:pPr>
        <w:pStyle w:val="4"/>
        <w:ind w:firstLine="640" w:firstLineChars="200"/>
        <w:rPr>
          <w:rFonts w:ascii="Arial" w:hAnsi="Arial" w:eastAsia="仿宋_GB2312" w:cs="仿宋_GB2312"/>
          <w:sz w:val="32"/>
          <w:szCs w:val="32"/>
          <w:lang w:eastAsia="zh-CN"/>
        </w:rPr>
      </w:pPr>
      <w:r>
        <w:rPr>
          <w:rFonts w:hint="eastAsia" w:ascii="仿宋_GB2312" w:hAnsi="仿宋_GB2312" w:eastAsia="仿宋_GB2312" w:cs="仿宋_GB2312"/>
          <w:sz w:val="32"/>
          <w:szCs w:val="32"/>
          <w:lang w:eastAsia="zh-CN"/>
        </w:rPr>
        <w:t>2023年度</w:t>
      </w:r>
      <w:r>
        <w:rPr>
          <w:rFonts w:hint="eastAsia" w:ascii="Arial" w:hAnsi="Arial" w:eastAsia="仿宋_GB2312" w:cs="仿宋_GB2312"/>
          <w:sz w:val="32"/>
          <w:szCs w:val="32"/>
          <w:lang w:eastAsia="zh-CN"/>
        </w:rPr>
        <w:t>岳阳市财政局未对本单位预算、追加项目专项资金。</w:t>
      </w:r>
    </w:p>
    <w:p w14:paraId="4787FB09">
      <w:pPr>
        <w:widowControl/>
        <w:spacing w:line="640" w:lineRule="exact"/>
        <w:ind w:firstLine="640" w:firstLineChars="200"/>
        <w:rPr>
          <w:rFonts w:ascii="Times New Roman" w:hAnsi="Times New Roman" w:eastAsia="仿宋_GB2312"/>
          <w:sz w:val="32"/>
          <w:szCs w:val="32"/>
        </w:rPr>
      </w:pPr>
    </w:p>
    <w:p w14:paraId="46B65931">
      <w:pPr>
        <w:widowControl/>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14:paraId="5C888D3B">
      <w:pPr>
        <w:widowControl/>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2023年度</w:t>
      </w:r>
      <w:r>
        <w:rPr>
          <w:rFonts w:hint="eastAsia" w:ascii="仿宋_GB2312" w:hAnsi="仿宋_GB2312" w:eastAsia="仿宋_GB2312" w:cs="仿宋_GB2312"/>
          <w:sz w:val="32"/>
          <w:szCs w:val="32"/>
        </w:rPr>
        <w:t>部门整体支出绩效评价基础数据表</w:t>
      </w:r>
    </w:p>
    <w:p w14:paraId="7D9F07DE">
      <w:pPr>
        <w:widowControl/>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2023年度</w:t>
      </w:r>
      <w:r>
        <w:rPr>
          <w:rFonts w:hint="eastAsia" w:ascii="仿宋_GB2312" w:hAnsi="仿宋_GB2312" w:eastAsia="仿宋_GB2312" w:cs="仿宋_GB2312"/>
          <w:sz w:val="32"/>
          <w:szCs w:val="32"/>
        </w:rPr>
        <w:t>部门整体支出绩效自评表</w:t>
      </w:r>
    </w:p>
    <w:p w14:paraId="58FDBE04">
      <w:pPr>
        <w:widowControl/>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3.2023年度项目支出绩效自评表</w:t>
      </w:r>
    </w:p>
    <w:p w14:paraId="2B58A48E">
      <w:pPr>
        <w:widowControl/>
        <w:spacing w:line="640" w:lineRule="exact"/>
        <w:rPr>
          <w:rFonts w:ascii="仿宋_GB2312" w:hAnsi="仿宋_GB2312" w:eastAsia="仿宋_GB2312" w:cs="仿宋_GB2312"/>
          <w:sz w:val="32"/>
          <w:szCs w:val="32"/>
        </w:rPr>
      </w:pPr>
    </w:p>
    <w:p w14:paraId="59601049">
      <w:pPr>
        <w:widowControl/>
        <w:spacing w:line="640" w:lineRule="exact"/>
        <w:rPr>
          <w:rFonts w:ascii="仿宋_GB2312" w:hAnsi="仿宋_GB2312" w:eastAsia="仿宋_GB2312" w:cs="仿宋_GB2312"/>
          <w:sz w:val="32"/>
          <w:szCs w:val="32"/>
        </w:rPr>
      </w:pPr>
    </w:p>
    <w:p w14:paraId="6480B7B5">
      <w:pPr>
        <w:widowControl/>
        <w:spacing w:line="640" w:lineRule="exact"/>
        <w:rPr>
          <w:rFonts w:ascii="仿宋_GB2312" w:hAnsi="仿宋_GB2312" w:eastAsia="仿宋_GB2312" w:cs="仿宋_GB2312"/>
          <w:sz w:val="32"/>
          <w:szCs w:val="32"/>
        </w:rPr>
      </w:pPr>
    </w:p>
    <w:p w14:paraId="427C9642">
      <w:pPr>
        <w:widowControl/>
        <w:spacing w:line="640" w:lineRule="exact"/>
        <w:rPr>
          <w:rFonts w:ascii="仿宋_GB2312" w:hAnsi="仿宋_GB2312" w:eastAsia="仿宋_GB2312" w:cs="仿宋_GB2312"/>
          <w:sz w:val="32"/>
          <w:szCs w:val="32"/>
        </w:rPr>
      </w:pPr>
    </w:p>
    <w:p w14:paraId="196F8EB9">
      <w:pPr>
        <w:widowControl/>
        <w:spacing w:line="640" w:lineRule="exact"/>
        <w:rPr>
          <w:rFonts w:ascii="黑体" w:hAnsi="黑体" w:eastAsia="黑体" w:cs="黑体"/>
          <w:sz w:val="32"/>
          <w:szCs w:val="32"/>
        </w:rPr>
      </w:pPr>
      <w:r>
        <w:rPr>
          <w:rFonts w:ascii="仿宋_GB2312" w:hAnsi="仿宋_GB2312" w:eastAsia="仿宋_GB2312" w:cs="仿宋_GB2312"/>
          <w:sz w:val="32"/>
          <w:szCs w:val="32"/>
        </w:rPr>
        <w:t xml:space="preserve"> </w:t>
      </w:r>
      <w:r>
        <w:rPr>
          <w:rFonts w:hint="eastAsia" w:ascii="黑体" w:hAnsi="黑体" w:eastAsia="黑体" w:cs="黑体"/>
          <w:sz w:val="32"/>
          <w:szCs w:val="32"/>
        </w:rPr>
        <w:t>附件1</w:t>
      </w:r>
    </w:p>
    <w:p w14:paraId="67C31EEE">
      <w:pPr>
        <w:spacing w:after="156" w:afterLines="50" w:line="600" w:lineRule="exact"/>
        <w:jc w:val="center"/>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36"/>
          <w:szCs w:val="36"/>
        </w:rPr>
        <w:t>2023年度部门整体支出绩效评价基础数据表</w:t>
      </w:r>
    </w:p>
    <w:tbl>
      <w:tblPr>
        <w:tblStyle w:val="12"/>
        <w:tblW w:w="9341" w:type="dxa"/>
        <w:jc w:val="center"/>
        <w:tblLayout w:type="fixed"/>
        <w:tblCellMar>
          <w:top w:w="0" w:type="dxa"/>
          <w:left w:w="108" w:type="dxa"/>
          <w:bottom w:w="0" w:type="dxa"/>
          <w:right w:w="108" w:type="dxa"/>
        </w:tblCellMar>
      </w:tblPr>
      <w:tblGrid>
        <w:gridCol w:w="3354"/>
        <w:gridCol w:w="1189"/>
        <w:gridCol w:w="849"/>
        <w:gridCol w:w="1129"/>
        <w:gridCol w:w="1111"/>
        <w:gridCol w:w="1081"/>
        <w:gridCol w:w="628"/>
      </w:tblGrid>
      <w:tr w14:paraId="03687CC0">
        <w:tblPrEx>
          <w:tblCellMar>
            <w:top w:w="0" w:type="dxa"/>
            <w:left w:w="108" w:type="dxa"/>
            <w:bottom w:w="0" w:type="dxa"/>
            <w:right w:w="108" w:type="dxa"/>
          </w:tblCellMar>
        </w:tblPrEx>
        <w:trPr>
          <w:jc w:val="center"/>
        </w:trPr>
        <w:tc>
          <w:tcPr>
            <w:tcW w:w="3354" w:type="dxa"/>
            <w:vMerge w:val="restart"/>
            <w:tcBorders>
              <w:top w:val="single" w:color="auto" w:sz="4" w:space="0"/>
              <w:left w:val="single" w:color="auto" w:sz="4" w:space="0"/>
              <w:bottom w:val="single" w:color="auto" w:sz="4" w:space="0"/>
              <w:right w:val="single" w:color="auto" w:sz="4" w:space="0"/>
            </w:tcBorders>
            <w:vAlign w:val="center"/>
          </w:tcPr>
          <w:p w14:paraId="4386747E">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财政供养人员情况（人）</w:t>
            </w:r>
          </w:p>
        </w:tc>
        <w:tc>
          <w:tcPr>
            <w:tcW w:w="2038" w:type="dxa"/>
            <w:gridSpan w:val="2"/>
            <w:tcBorders>
              <w:top w:val="single" w:color="auto" w:sz="4" w:space="0"/>
              <w:left w:val="nil"/>
              <w:bottom w:val="single" w:color="auto" w:sz="4" w:space="0"/>
              <w:right w:val="single" w:color="auto" w:sz="4" w:space="0"/>
            </w:tcBorders>
            <w:vAlign w:val="center"/>
          </w:tcPr>
          <w:p w14:paraId="182FCC0F">
            <w:pPr>
              <w:widowControl/>
              <w:spacing w:line="360" w:lineRule="exact"/>
              <w:jc w:val="center"/>
              <w:rPr>
                <w:rFonts w:ascii="仿宋_GB2312" w:hAnsi="仿宋_GB2312" w:eastAsia="仿宋_GB2312" w:cs="仿宋_GB2312"/>
                <w:b/>
                <w:bCs/>
                <w:sz w:val="20"/>
                <w:szCs w:val="20"/>
              </w:rPr>
            </w:pPr>
            <w:r>
              <w:rPr>
                <w:rFonts w:hint="eastAsia" w:ascii="仿宋_GB2312" w:hAnsi="仿宋_GB2312" w:eastAsia="仿宋_GB2312" w:cs="仿宋_GB2312"/>
                <w:b/>
                <w:bCs/>
                <w:sz w:val="20"/>
                <w:szCs w:val="20"/>
              </w:rPr>
              <w:t>编制数</w:t>
            </w:r>
          </w:p>
        </w:tc>
        <w:tc>
          <w:tcPr>
            <w:tcW w:w="2240" w:type="dxa"/>
            <w:gridSpan w:val="2"/>
            <w:tcBorders>
              <w:top w:val="single" w:color="auto" w:sz="4" w:space="0"/>
              <w:left w:val="nil"/>
              <w:bottom w:val="single" w:color="auto" w:sz="4" w:space="0"/>
              <w:right w:val="single" w:color="auto" w:sz="4" w:space="0"/>
            </w:tcBorders>
            <w:vAlign w:val="center"/>
          </w:tcPr>
          <w:p w14:paraId="7CB41D75">
            <w:pPr>
              <w:widowControl/>
              <w:spacing w:line="360" w:lineRule="exact"/>
              <w:jc w:val="center"/>
              <w:rPr>
                <w:rFonts w:ascii="仿宋_GB2312" w:hAnsi="仿宋_GB2312" w:eastAsia="仿宋_GB2312" w:cs="仿宋_GB2312"/>
                <w:b/>
                <w:bCs/>
                <w:sz w:val="20"/>
                <w:szCs w:val="20"/>
              </w:rPr>
            </w:pPr>
            <w:r>
              <w:rPr>
                <w:rFonts w:hint="eastAsia" w:ascii="仿宋_GB2312" w:hAnsi="仿宋_GB2312" w:eastAsia="仿宋_GB2312" w:cs="仿宋_GB2312"/>
                <w:b/>
                <w:bCs/>
                <w:sz w:val="20"/>
                <w:szCs w:val="20"/>
              </w:rPr>
              <w:t>2023年实际在职人数</w:t>
            </w:r>
          </w:p>
        </w:tc>
        <w:tc>
          <w:tcPr>
            <w:tcW w:w="1709" w:type="dxa"/>
            <w:gridSpan w:val="2"/>
            <w:tcBorders>
              <w:top w:val="single" w:color="auto" w:sz="4" w:space="0"/>
              <w:left w:val="nil"/>
              <w:bottom w:val="single" w:color="auto" w:sz="4" w:space="0"/>
              <w:right w:val="single" w:color="auto" w:sz="4" w:space="0"/>
            </w:tcBorders>
            <w:vAlign w:val="center"/>
          </w:tcPr>
          <w:p w14:paraId="24DB12AF">
            <w:pPr>
              <w:widowControl/>
              <w:spacing w:line="360" w:lineRule="exact"/>
              <w:jc w:val="center"/>
              <w:rPr>
                <w:rFonts w:ascii="仿宋_GB2312" w:hAnsi="仿宋_GB2312" w:eastAsia="仿宋_GB2312" w:cs="仿宋_GB2312"/>
                <w:b/>
                <w:bCs/>
                <w:sz w:val="20"/>
                <w:szCs w:val="20"/>
              </w:rPr>
            </w:pPr>
            <w:r>
              <w:rPr>
                <w:rFonts w:hint="eastAsia" w:ascii="仿宋_GB2312" w:hAnsi="仿宋_GB2312" w:eastAsia="仿宋_GB2312" w:cs="仿宋_GB2312"/>
                <w:b/>
                <w:bCs/>
                <w:sz w:val="20"/>
                <w:szCs w:val="20"/>
              </w:rPr>
              <w:t>控制率</w:t>
            </w:r>
          </w:p>
        </w:tc>
      </w:tr>
      <w:tr w14:paraId="72B194ED">
        <w:tblPrEx>
          <w:tblCellMar>
            <w:top w:w="0" w:type="dxa"/>
            <w:left w:w="108" w:type="dxa"/>
            <w:bottom w:w="0" w:type="dxa"/>
            <w:right w:w="108" w:type="dxa"/>
          </w:tblCellMar>
        </w:tblPrEx>
        <w:trPr>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14:paraId="5A867590">
            <w:pPr>
              <w:widowControl/>
              <w:spacing w:line="360" w:lineRule="exact"/>
              <w:jc w:val="left"/>
              <w:rPr>
                <w:rFonts w:ascii="仿宋_GB2312" w:hAnsi="仿宋_GB2312" w:eastAsia="仿宋_GB2312" w:cs="仿宋_GB2312"/>
                <w:sz w:val="20"/>
                <w:szCs w:val="20"/>
              </w:rPr>
            </w:pPr>
          </w:p>
        </w:tc>
        <w:tc>
          <w:tcPr>
            <w:tcW w:w="2038" w:type="dxa"/>
            <w:gridSpan w:val="2"/>
            <w:tcBorders>
              <w:top w:val="single" w:color="auto" w:sz="4" w:space="0"/>
              <w:left w:val="nil"/>
              <w:bottom w:val="single" w:color="auto" w:sz="4" w:space="0"/>
              <w:right w:val="single" w:color="auto" w:sz="4" w:space="0"/>
            </w:tcBorders>
            <w:vAlign w:val="center"/>
          </w:tcPr>
          <w:p w14:paraId="73590EC5">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w:t>
            </w:r>
            <w:r>
              <w:rPr>
                <w:rFonts w:ascii="仿宋_GB2312" w:hAnsi="仿宋_GB2312" w:eastAsia="仿宋_GB2312" w:cs="仿宋_GB2312"/>
                <w:sz w:val="20"/>
                <w:szCs w:val="20"/>
              </w:rPr>
              <w:t>8</w:t>
            </w:r>
          </w:p>
        </w:tc>
        <w:tc>
          <w:tcPr>
            <w:tcW w:w="2240" w:type="dxa"/>
            <w:gridSpan w:val="2"/>
            <w:tcBorders>
              <w:top w:val="single" w:color="auto" w:sz="4" w:space="0"/>
              <w:left w:val="nil"/>
              <w:bottom w:val="single" w:color="auto" w:sz="4" w:space="0"/>
              <w:right w:val="single" w:color="auto" w:sz="4" w:space="0"/>
            </w:tcBorders>
            <w:vAlign w:val="center"/>
          </w:tcPr>
          <w:p w14:paraId="3A988644">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w:t>
            </w:r>
            <w:r>
              <w:rPr>
                <w:rFonts w:ascii="仿宋_GB2312" w:hAnsi="仿宋_GB2312" w:eastAsia="仿宋_GB2312" w:cs="仿宋_GB2312"/>
                <w:sz w:val="20"/>
                <w:szCs w:val="20"/>
              </w:rPr>
              <w:t>6</w:t>
            </w:r>
          </w:p>
        </w:tc>
        <w:tc>
          <w:tcPr>
            <w:tcW w:w="1709" w:type="dxa"/>
            <w:gridSpan w:val="2"/>
            <w:tcBorders>
              <w:top w:val="single" w:color="auto" w:sz="4" w:space="0"/>
              <w:left w:val="nil"/>
              <w:bottom w:val="single" w:color="auto" w:sz="4" w:space="0"/>
              <w:right w:val="single" w:color="auto" w:sz="4" w:space="0"/>
            </w:tcBorders>
            <w:vAlign w:val="center"/>
          </w:tcPr>
          <w:p w14:paraId="0863AB5C">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8</w:t>
            </w:r>
            <w:r>
              <w:rPr>
                <w:rFonts w:ascii="仿宋_GB2312" w:hAnsi="仿宋_GB2312" w:eastAsia="仿宋_GB2312" w:cs="仿宋_GB2312"/>
                <w:sz w:val="20"/>
                <w:szCs w:val="20"/>
              </w:rPr>
              <w:t>8.89%</w:t>
            </w:r>
          </w:p>
        </w:tc>
      </w:tr>
      <w:tr w14:paraId="0CC032D7">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21AB4442">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经费控制情况（万元）</w:t>
            </w:r>
          </w:p>
        </w:tc>
        <w:tc>
          <w:tcPr>
            <w:tcW w:w="2038" w:type="dxa"/>
            <w:gridSpan w:val="2"/>
            <w:tcBorders>
              <w:top w:val="single" w:color="auto" w:sz="4" w:space="0"/>
              <w:left w:val="nil"/>
              <w:bottom w:val="single" w:color="auto" w:sz="4" w:space="0"/>
              <w:right w:val="single" w:color="000000" w:sz="4" w:space="0"/>
            </w:tcBorders>
            <w:vAlign w:val="center"/>
          </w:tcPr>
          <w:p w14:paraId="42664AB4">
            <w:pPr>
              <w:widowControl/>
              <w:spacing w:line="360" w:lineRule="exact"/>
              <w:jc w:val="center"/>
              <w:rPr>
                <w:rFonts w:ascii="仿宋_GB2312" w:hAnsi="仿宋_GB2312" w:eastAsia="仿宋_GB2312" w:cs="仿宋_GB2312"/>
                <w:b/>
                <w:bCs/>
                <w:sz w:val="20"/>
                <w:szCs w:val="20"/>
              </w:rPr>
            </w:pPr>
            <w:r>
              <w:rPr>
                <w:rFonts w:hint="eastAsia" w:ascii="仿宋_GB2312" w:hAnsi="仿宋_GB2312" w:eastAsia="仿宋_GB2312" w:cs="仿宋_GB2312"/>
                <w:b/>
                <w:bCs/>
                <w:sz w:val="20"/>
                <w:szCs w:val="20"/>
              </w:rPr>
              <w:t>2022年决算数</w:t>
            </w:r>
          </w:p>
        </w:tc>
        <w:tc>
          <w:tcPr>
            <w:tcW w:w="2240" w:type="dxa"/>
            <w:gridSpan w:val="2"/>
            <w:tcBorders>
              <w:top w:val="single" w:color="auto" w:sz="4" w:space="0"/>
              <w:left w:val="nil"/>
              <w:bottom w:val="single" w:color="auto" w:sz="4" w:space="0"/>
              <w:right w:val="single" w:color="000000" w:sz="4" w:space="0"/>
            </w:tcBorders>
            <w:vAlign w:val="center"/>
          </w:tcPr>
          <w:p w14:paraId="694CB41B">
            <w:pPr>
              <w:widowControl/>
              <w:spacing w:line="360" w:lineRule="exact"/>
              <w:jc w:val="center"/>
              <w:rPr>
                <w:rFonts w:ascii="仿宋_GB2312" w:hAnsi="仿宋_GB2312" w:eastAsia="仿宋_GB2312" w:cs="仿宋_GB2312"/>
                <w:b/>
                <w:bCs/>
                <w:sz w:val="20"/>
                <w:szCs w:val="20"/>
              </w:rPr>
            </w:pPr>
            <w:r>
              <w:rPr>
                <w:rFonts w:hint="eastAsia" w:ascii="仿宋_GB2312" w:hAnsi="仿宋_GB2312" w:eastAsia="仿宋_GB2312" w:cs="仿宋_GB2312"/>
                <w:b/>
                <w:bCs/>
                <w:sz w:val="20"/>
                <w:szCs w:val="20"/>
              </w:rPr>
              <w:t>2023年预算数</w:t>
            </w:r>
          </w:p>
        </w:tc>
        <w:tc>
          <w:tcPr>
            <w:tcW w:w="1709" w:type="dxa"/>
            <w:gridSpan w:val="2"/>
            <w:tcBorders>
              <w:top w:val="single" w:color="auto" w:sz="4" w:space="0"/>
              <w:left w:val="nil"/>
              <w:bottom w:val="single" w:color="auto" w:sz="4" w:space="0"/>
              <w:right w:val="single" w:color="000000" w:sz="4" w:space="0"/>
            </w:tcBorders>
            <w:vAlign w:val="center"/>
          </w:tcPr>
          <w:p w14:paraId="3EA64C0C">
            <w:pPr>
              <w:widowControl/>
              <w:spacing w:line="360" w:lineRule="exact"/>
              <w:jc w:val="center"/>
              <w:rPr>
                <w:rFonts w:ascii="仿宋_GB2312" w:hAnsi="仿宋_GB2312" w:eastAsia="仿宋_GB2312" w:cs="仿宋_GB2312"/>
                <w:b/>
                <w:bCs/>
                <w:sz w:val="20"/>
                <w:szCs w:val="20"/>
              </w:rPr>
            </w:pPr>
            <w:r>
              <w:rPr>
                <w:rFonts w:hint="eastAsia" w:ascii="仿宋_GB2312" w:hAnsi="仿宋_GB2312" w:eastAsia="仿宋_GB2312" w:cs="仿宋_GB2312"/>
                <w:b/>
                <w:bCs/>
                <w:sz w:val="20"/>
                <w:szCs w:val="20"/>
              </w:rPr>
              <w:t>2023年决算数</w:t>
            </w:r>
          </w:p>
        </w:tc>
      </w:tr>
      <w:tr w14:paraId="53BD1E66">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446B2AB6">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三公经费</w:t>
            </w:r>
          </w:p>
        </w:tc>
        <w:tc>
          <w:tcPr>
            <w:tcW w:w="2038" w:type="dxa"/>
            <w:gridSpan w:val="2"/>
            <w:tcBorders>
              <w:top w:val="single" w:color="auto" w:sz="4" w:space="0"/>
              <w:left w:val="nil"/>
              <w:bottom w:val="single" w:color="auto" w:sz="4" w:space="0"/>
              <w:right w:val="single" w:color="000000" w:sz="4" w:space="0"/>
            </w:tcBorders>
            <w:vAlign w:val="center"/>
          </w:tcPr>
          <w:p w14:paraId="5E526254">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4.23</w:t>
            </w:r>
          </w:p>
        </w:tc>
        <w:tc>
          <w:tcPr>
            <w:tcW w:w="2240" w:type="dxa"/>
            <w:gridSpan w:val="2"/>
            <w:tcBorders>
              <w:top w:val="single" w:color="auto" w:sz="4" w:space="0"/>
              <w:left w:val="nil"/>
              <w:bottom w:val="single" w:color="auto" w:sz="4" w:space="0"/>
              <w:right w:val="single" w:color="000000" w:sz="4" w:space="0"/>
            </w:tcBorders>
            <w:vAlign w:val="center"/>
          </w:tcPr>
          <w:p w14:paraId="19932508">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4</w:t>
            </w:r>
          </w:p>
        </w:tc>
        <w:tc>
          <w:tcPr>
            <w:tcW w:w="1709" w:type="dxa"/>
            <w:gridSpan w:val="2"/>
            <w:tcBorders>
              <w:top w:val="single" w:color="auto" w:sz="4" w:space="0"/>
              <w:left w:val="nil"/>
              <w:bottom w:val="single" w:color="auto" w:sz="4" w:space="0"/>
              <w:right w:val="single" w:color="000000" w:sz="4" w:space="0"/>
            </w:tcBorders>
            <w:vAlign w:val="center"/>
          </w:tcPr>
          <w:p w14:paraId="3D0068B1">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2.89</w:t>
            </w:r>
          </w:p>
        </w:tc>
      </w:tr>
      <w:tr w14:paraId="757E947E">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19440F91">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vAlign w:val="center"/>
          </w:tcPr>
          <w:p w14:paraId="6315DF5A">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3.69</w:t>
            </w:r>
          </w:p>
        </w:tc>
        <w:tc>
          <w:tcPr>
            <w:tcW w:w="2240" w:type="dxa"/>
            <w:gridSpan w:val="2"/>
            <w:tcBorders>
              <w:top w:val="single" w:color="auto" w:sz="4" w:space="0"/>
              <w:left w:val="nil"/>
              <w:bottom w:val="single" w:color="auto" w:sz="4" w:space="0"/>
              <w:right w:val="single" w:color="000000" w:sz="4" w:space="0"/>
            </w:tcBorders>
            <w:vAlign w:val="center"/>
          </w:tcPr>
          <w:p w14:paraId="592669F1">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3</w:t>
            </w:r>
          </w:p>
        </w:tc>
        <w:tc>
          <w:tcPr>
            <w:tcW w:w="1709" w:type="dxa"/>
            <w:gridSpan w:val="2"/>
            <w:tcBorders>
              <w:top w:val="single" w:color="auto" w:sz="4" w:space="0"/>
              <w:left w:val="nil"/>
              <w:bottom w:val="single" w:color="auto" w:sz="4" w:space="0"/>
              <w:right w:val="single" w:color="000000" w:sz="4" w:space="0"/>
            </w:tcBorders>
            <w:vAlign w:val="center"/>
          </w:tcPr>
          <w:p w14:paraId="31BB321F">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2.36</w:t>
            </w:r>
          </w:p>
        </w:tc>
      </w:tr>
      <w:tr w14:paraId="6EEC0B01">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14139FAF">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其中：公车购置</w:t>
            </w:r>
          </w:p>
        </w:tc>
        <w:tc>
          <w:tcPr>
            <w:tcW w:w="2038" w:type="dxa"/>
            <w:gridSpan w:val="2"/>
            <w:tcBorders>
              <w:top w:val="single" w:color="auto" w:sz="4" w:space="0"/>
              <w:left w:val="nil"/>
              <w:bottom w:val="single" w:color="auto" w:sz="4" w:space="0"/>
              <w:right w:val="single" w:color="000000" w:sz="4" w:space="0"/>
            </w:tcBorders>
            <w:vAlign w:val="center"/>
          </w:tcPr>
          <w:p w14:paraId="4FE1C46E">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vAlign w:val="center"/>
          </w:tcPr>
          <w:p w14:paraId="23399138">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1709" w:type="dxa"/>
            <w:gridSpan w:val="2"/>
            <w:tcBorders>
              <w:top w:val="single" w:color="auto" w:sz="4" w:space="0"/>
              <w:left w:val="nil"/>
              <w:bottom w:val="single" w:color="auto" w:sz="4" w:space="0"/>
              <w:right w:val="single" w:color="000000" w:sz="4" w:space="0"/>
            </w:tcBorders>
            <w:vAlign w:val="center"/>
          </w:tcPr>
          <w:p w14:paraId="7284E257">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14:paraId="335437A6">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706F18AD">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公车运行维护</w:t>
            </w:r>
          </w:p>
        </w:tc>
        <w:tc>
          <w:tcPr>
            <w:tcW w:w="2038" w:type="dxa"/>
            <w:gridSpan w:val="2"/>
            <w:tcBorders>
              <w:top w:val="single" w:color="auto" w:sz="4" w:space="0"/>
              <w:left w:val="nil"/>
              <w:bottom w:val="single" w:color="auto" w:sz="4" w:space="0"/>
              <w:right w:val="single" w:color="000000" w:sz="4" w:space="0"/>
            </w:tcBorders>
            <w:vAlign w:val="center"/>
          </w:tcPr>
          <w:p w14:paraId="711293AA">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3</w:t>
            </w:r>
            <w:r>
              <w:rPr>
                <w:rFonts w:ascii="仿宋_GB2312" w:hAnsi="仿宋_GB2312" w:eastAsia="仿宋_GB2312" w:cs="仿宋_GB2312"/>
                <w:sz w:val="20"/>
                <w:szCs w:val="20"/>
              </w:rPr>
              <w:t>.69</w:t>
            </w:r>
          </w:p>
        </w:tc>
        <w:tc>
          <w:tcPr>
            <w:tcW w:w="2240" w:type="dxa"/>
            <w:gridSpan w:val="2"/>
            <w:tcBorders>
              <w:top w:val="single" w:color="auto" w:sz="4" w:space="0"/>
              <w:left w:val="nil"/>
              <w:bottom w:val="single" w:color="auto" w:sz="4" w:space="0"/>
              <w:right w:val="single" w:color="000000" w:sz="4" w:space="0"/>
            </w:tcBorders>
            <w:vAlign w:val="center"/>
          </w:tcPr>
          <w:p w14:paraId="70B7D378">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3</w:t>
            </w:r>
          </w:p>
        </w:tc>
        <w:tc>
          <w:tcPr>
            <w:tcW w:w="1709" w:type="dxa"/>
            <w:gridSpan w:val="2"/>
            <w:tcBorders>
              <w:top w:val="single" w:color="auto" w:sz="4" w:space="0"/>
              <w:left w:val="nil"/>
              <w:bottom w:val="single" w:color="auto" w:sz="4" w:space="0"/>
              <w:right w:val="single" w:color="000000" w:sz="4" w:space="0"/>
            </w:tcBorders>
            <w:vAlign w:val="center"/>
          </w:tcPr>
          <w:p w14:paraId="5738A664">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2</w:t>
            </w:r>
            <w:r>
              <w:rPr>
                <w:rFonts w:ascii="仿宋_GB2312" w:hAnsi="仿宋_GB2312" w:eastAsia="仿宋_GB2312" w:cs="仿宋_GB2312"/>
                <w:sz w:val="20"/>
                <w:szCs w:val="20"/>
              </w:rPr>
              <w:t>.36</w:t>
            </w:r>
          </w:p>
        </w:tc>
      </w:tr>
      <w:tr w14:paraId="34E6F87D">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40E7B5AB">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2、出国经费</w:t>
            </w:r>
          </w:p>
        </w:tc>
        <w:tc>
          <w:tcPr>
            <w:tcW w:w="2038" w:type="dxa"/>
            <w:gridSpan w:val="2"/>
            <w:tcBorders>
              <w:top w:val="single" w:color="auto" w:sz="4" w:space="0"/>
              <w:left w:val="nil"/>
              <w:bottom w:val="single" w:color="auto" w:sz="4" w:space="0"/>
              <w:right w:val="single" w:color="000000" w:sz="4" w:space="0"/>
            </w:tcBorders>
            <w:vAlign w:val="center"/>
          </w:tcPr>
          <w:p w14:paraId="14313D36">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vAlign w:val="center"/>
          </w:tcPr>
          <w:p w14:paraId="4005FD29">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1709" w:type="dxa"/>
            <w:gridSpan w:val="2"/>
            <w:tcBorders>
              <w:top w:val="single" w:color="auto" w:sz="4" w:space="0"/>
              <w:left w:val="nil"/>
              <w:bottom w:val="single" w:color="auto" w:sz="4" w:space="0"/>
              <w:right w:val="single" w:color="000000" w:sz="4" w:space="0"/>
            </w:tcBorders>
            <w:vAlign w:val="center"/>
          </w:tcPr>
          <w:p w14:paraId="40CDDEBE">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r>
      <w:tr w14:paraId="4F295712">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1BD7A89B">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3、公务接待</w:t>
            </w:r>
          </w:p>
        </w:tc>
        <w:tc>
          <w:tcPr>
            <w:tcW w:w="2038" w:type="dxa"/>
            <w:gridSpan w:val="2"/>
            <w:tcBorders>
              <w:top w:val="single" w:color="auto" w:sz="4" w:space="0"/>
              <w:left w:val="nil"/>
              <w:bottom w:val="single" w:color="auto" w:sz="4" w:space="0"/>
              <w:right w:val="single" w:color="000000" w:sz="4" w:space="0"/>
            </w:tcBorders>
            <w:vAlign w:val="center"/>
          </w:tcPr>
          <w:p w14:paraId="3B6C09F1">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r>
              <w:rPr>
                <w:rFonts w:ascii="仿宋_GB2312" w:hAnsi="仿宋_GB2312" w:eastAsia="仿宋_GB2312" w:cs="仿宋_GB2312"/>
                <w:sz w:val="20"/>
                <w:szCs w:val="20"/>
              </w:rPr>
              <w:t>.54</w:t>
            </w:r>
          </w:p>
        </w:tc>
        <w:tc>
          <w:tcPr>
            <w:tcW w:w="2240" w:type="dxa"/>
            <w:gridSpan w:val="2"/>
            <w:tcBorders>
              <w:top w:val="single" w:color="auto" w:sz="4" w:space="0"/>
              <w:left w:val="nil"/>
              <w:bottom w:val="single" w:color="auto" w:sz="4" w:space="0"/>
              <w:right w:val="single" w:color="000000" w:sz="4" w:space="0"/>
            </w:tcBorders>
            <w:vAlign w:val="center"/>
          </w:tcPr>
          <w:p w14:paraId="3AC62EE7">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w:t>
            </w:r>
          </w:p>
        </w:tc>
        <w:tc>
          <w:tcPr>
            <w:tcW w:w="1709" w:type="dxa"/>
            <w:gridSpan w:val="2"/>
            <w:tcBorders>
              <w:top w:val="single" w:color="auto" w:sz="4" w:space="0"/>
              <w:left w:val="nil"/>
              <w:bottom w:val="single" w:color="auto" w:sz="4" w:space="0"/>
              <w:right w:val="single" w:color="000000" w:sz="4" w:space="0"/>
            </w:tcBorders>
            <w:vAlign w:val="center"/>
          </w:tcPr>
          <w:p w14:paraId="60023147">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r>
              <w:rPr>
                <w:rFonts w:ascii="仿宋_GB2312" w:hAnsi="仿宋_GB2312" w:eastAsia="仿宋_GB2312" w:cs="仿宋_GB2312"/>
                <w:sz w:val="20"/>
                <w:szCs w:val="20"/>
              </w:rPr>
              <w:t>.53</w:t>
            </w:r>
          </w:p>
        </w:tc>
      </w:tr>
      <w:tr w14:paraId="3616D158">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7FFE250D">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项目支出：</w:t>
            </w:r>
          </w:p>
        </w:tc>
        <w:tc>
          <w:tcPr>
            <w:tcW w:w="2038" w:type="dxa"/>
            <w:gridSpan w:val="2"/>
            <w:tcBorders>
              <w:top w:val="single" w:color="auto" w:sz="4" w:space="0"/>
              <w:left w:val="nil"/>
              <w:bottom w:val="single" w:color="auto" w:sz="4" w:space="0"/>
              <w:right w:val="single" w:color="000000" w:sz="4" w:space="0"/>
            </w:tcBorders>
            <w:vAlign w:val="center"/>
          </w:tcPr>
          <w:p w14:paraId="53E069EB">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75.4</w:t>
            </w:r>
          </w:p>
        </w:tc>
        <w:tc>
          <w:tcPr>
            <w:tcW w:w="2240" w:type="dxa"/>
            <w:gridSpan w:val="2"/>
            <w:tcBorders>
              <w:top w:val="single" w:color="auto" w:sz="4" w:space="0"/>
              <w:left w:val="nil"/>
              <w:bottom w:val="single" w:color="auto" w:sz="4" w:space="0"/>
              <w:right w:val="single" w:color="000000" w:sz="4" w:space="0"/>
            </w:tcBorders>
            <w:vAlign w:val="center"/>
          </w:tcPr>
          <w:p w14:paraId="634C427F">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1709" w:type="dxa"/>
            <w:gridSpan w:val="2"/>
            <w:tcBorders>
              <w:top w:val="single" w:color="auto" w:sz="4" w:space="0"/>
              <w:left w:val="nil"/>
              <w:bottom w:val="single" w:color="auto" w:sz="4" w:space="0"/>
              <w:right w:val="single" w:color="000000" w:sz="4" w:space="0"/>
            </w:tcBorders>
            <w:vAlign w:val="center"/>
          </w:tcPr>
          <w:p w14:paraId="7F9FF213">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6</w:t>
            </w:r>
            <w:r>
              <w:rPr>
                <w:rFonts w:ascii="仿宋_GB2312" w:hAnsi="仿宋_GB2312" w:eastAsia="仿宋_GB2312" w:cs="仿宋_GB2312"/>
                <w:sz w:val="20"/>
                <w:szCs w:val="20"/>
              </w:rPr>
              <w:t>5.44</w:t>
            </w:r>
          </w:p>
        </w:tc>
      </w:tr>
      <w:tr w14:paraId="6196E897">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2469DBFC">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1、业务工作经费</w:t>
            </w:r>
          </w:p>
        </w:tc>
        <w:tc>
          <w:tcPr>
            <w:tcW w:w="2038" w:type="dxa"/>
            <w:gridSpan w:val="2"/>
            <w:tcBorders>
              <w:top w:val="single" w:color="auto" w:sz="4" w:space="0"/>
              <w:left w:val="nil"/>
              <w:bottom w:val="single" w:color="auto" w:sz="4" w:space="0"/>
              <w:right w:val="single" w:color="000000" w:sz="4" w:space="0"/>
            </w:tcBorders>
            <w:vAlign w:val="center"/>
          </w:tcPr>
          <w:p w14:paraId="0C29232C">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75.4</w:t>
            </w:r>
          </w:p>
        </w:tc>
        <w:tc>
          <w:tcPr>
            <w:tcW w:w="2240" w:type="dxa"/>
            <w:gridSpan w:val="2"/>
            <w:tcBorders>
              <w:top w:val="single" w:color="auto" w:sz="4" w:space="0"/>
              <w:left w:val="nil"/>
              <w:bottom w:val="single" w:color="auto" w:sz="4" w:space="0"/>
              <w:right w:val="single" w:color="000000" w:sz="4" w:space="0"/>
            </w:tcBorders>
            <w:vAlign w:val="center"/>
          </w:tcPr>
          <w:p w14:paraId="2137138C">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1709" w:type="dxa"/>
            <w:gridSpan w:val="2"/>
            <w:tcBorders>
              <w:top w:val="single" w:color="auto" w:sz="4" w:space="0"/>
              <w:left w:val="nil"/>
              <w:bottom w:val="single" w:color="auto" w:sz="4" w:space="0"/>
              <w:right w:val="single" w:color="000000" w:sz="4" w:space="0"/>
            </w:tcBorders>
            <w:vAlign w:val="center"/>
          </w:tcPr>
          <w:p w14:paraId="58F59D0D">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6</w:t>
            </w:r>
            <w:r>
              <w:rPr>
                <w:rFonts w:ascii="仿宋_GB2312" w:hAnsi="仿宋_GB2312" w:eastAsia="仿宋_GB2312" w:cs="仿宋_GB2312"/>
                <w:sz w:val="20"/>
                <w:szCs w:val="20"/>
              </w:rPr>
              <w:t>5.44</w:t>
            </w:r>
          </w:p>
        </w:tc>
      </w:tr>
      <w:tr w14:paraId="76723771">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7565E622">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2、运行维护经费</w:t>
            </w:r>
          </w:p>
        </w:tc>
        <w:tc>
          <w:tcPr>
            <w:tcW w:w="2038" w:type="dxa"/>
            <w:gridSpan w:val="2"/>
            <w:tcBorders>
              <w:top w:val="single" w:color="auto" w:sz="4" w:space="0"/>
              <w:left w:val="nil"/>
              <w:bottom w:val="single" w:color="auto" w:sz="4" w:space="0"/>
              <w:right w:val="single" w:color="000000" w:sz="4" w:space="0"/>
            </w:tcBorders>
            <w:vAlign w:val="center"/>
          </w:tcPr>
          <w:p w14:paraId="613A9B2A">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vAlign w:val="center"/>
          </w:tcPr>
          <w:p w14:paraId="205F7AFE">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1709" w:type="dxa"/>
            <w:gridSpan w:val="2"/>
            <w:tcBorders>
              <w:top w:val="single" w:color="auto" w:sz="4" w:space="0"/>
              <w:left w:val="nil"/>
              <w:bottom w:val="single" w:color="auto" w:sz="4" w:space="0"/>
              <w:right w:val="single" w:color="000000" w:sz="4" w:space="0"/>
            </w:tcBorders>
            <w:vAlign w:val="center"/>
          </w:tcPr>
          <w:p w14:paraId="09FE28DC">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14:paraId="7DBA8F61">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16C5DABF">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038" w:type="dxa"/>
            <w:gridSpan w:val="2"/>
            <w:tcBorders>
              <w:top w:val="single" w:color="auto" w:sz="4" w:space="0"/>
              <w:left w:val="nil"/>
              <w:bottom w:val="single" w:color="auto" w:sz="4" w:space="0"/>
              <w:right w:val="single" w:color="000000" w:sz="4" w:space="0"/>
            </w:tcBorders>
            <w:vAlign w:val="center"/>
          </w:tcPr>
          <w:p w14:paraId="3F658C0E">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vAlign w:val="center"/>
          </w:tcPr>
          <w:p w14:paraId="35BAD78B">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1709" w:type="dxa"/>
            <w:gridSpan w:val="2"/>
            <w:tcBorders>
              <w:top w:val="single" w:color="auto" w:sz="4" w:space="0"/>
              <w:left w:val="nil"/>
              <w:bottom w:val="single" w:color="auto" w:sz="4" w:space="0"/>
              <w:right w:val="single" w:color="000000" w:sz="4" w:space="0"/>
            </w:tcBorders>
            <w:vAlign w:val="center"/>
          </w:tcPr>
          <w:p w14:paraId="5BEBBCE5">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14:paraId="7D3BB218">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791B758B">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3、市级专项资金（一个专项一行）</w:t>
            </w:r>
          </w:p>
        </w:tc>
        <w:tc>
          <w:tcPr>
            <w:tcW w:w="2038" w:type="dxa"/>
            <w:gridSpan w:val="2"/>
            <w:tcBorders>
              <w:top w:val="single" w:color="auto" w:sz="4" w:space="0"/>
              <w:left w:val="nil"/>
              <w:bottom w:val="single" w:color="auto" w:sz="4" w:space="0"/>
              <w:right w:val="single" w:color="000000" w:sz="4" w:space="0"/>
            </w:tcBorders>
            <w:vAlign w:val="center"/>
          </w:tcPr>
          <w:p w14:paraId="2D7958B2">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vAlign w:val="center"/>
          </w:tcPr>
          <w:p w14:paraId="234C809A">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1709" w:type="dxa"/>
            <w:gridSpan w:val="2"/>
            <w:tcBorders>
              <w:top w:val="single" w:color="auto" w:sz="4" w:space="0"/>
              <w:left w:val="nil"/>
              <w:bottom w:val="single" w:color="auto" w:sz="4" w:space="0"/>
              <w:right w:val="single" w:color="000000" w:sz="4" w:space="0"/>
            </w:tcBorders>
            <w:vAlign w:val="center"/>
          </w:tcPr>
          <w:p w14:paraId="48EE68EA">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r>
      <w:tr w14:paraId="67BDB0B9">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762C41CB">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038" w:type="dxa"/>
            <w:gridSpan w:val="2"/>
            <w:tcBorders>
              <w:top w:val="single" w:color="auto" w:sz="4" w:space="0"/>
              <w:left w:val="nil"/>
              <w:bottom w:val="single" w:color="auto" w:sz="4" w:space="0"/>
              <w:right w:val="single" w:color="000000" w:sz="4" w:space="0"/>
            </w:tcBorders>
            <w:vAlign w:val="center"/>
          </w:tcPr>
          <w:p w14:paraId="1AE50B59">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vAlign w:val="center"/>
          </w:tcPr>
          <w:p w14:paraId="5FF11FE2">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1709" w:type="dxa"/>
            <w:gridSpan w:val="2"/>
            <w:tcBorders>
              <w:top w:val="single" w:color="auto" w:sz="4" w:space="0"/>
              <w:left w:val="nil"/>
              <w:bottom w:val="single" w:color="auto" w:sz="4" w:space="0"/>
              <w:right w:val="single" w:color="000000" w:sz="4" w:space="0"/>
            </w:tcBorders>
            <w:vAlign w:val="center"/>
          </w:tcPr>
          <w:p w14:paraId="4061170A">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14:paraId="66103D97">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73319E18">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公用经费</w:t>
            </w:r>
          </w:p>
        </w:tc>
        <w:tc>
          <w:tcPr>
            <w:tcW w:w="2038" w:type="dxa"/>
            <w:gridSpan w:val="2"/>
            <w:tcBorders>
              <w:top w:val="single" w:color="auto" w:sz="4" w:space="0"/>
              <w:left w:val="nil"/>
              <w:bottom w:val="single" w:color="auto" w:sz="4" w:space="0"/>
              <w:right w:val="single" w:color="000000" w:sz="4" w:space="0"/>
            </w:tcBorders>
            <w:vAlign w:val="center"/>
          </w:tcPr>
          <w:p w14:paraId="518AE658">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26.33</w:t>
            </w:r>
          </w:p>
        </w:tc>
        <w:tc>
          <w:tcPr>
            <w:tcW w:w="2240" w:type="dxa"/>
            <w:gridSpan w:val="2"/>
            <w:tcBorders>
              <w:top w:val="single" w:color="auto" w:sz="4" w:space="0"/>
              <w:left w:val="nil"/>
              <w:bottom w:val="single" w:color="auto" w:sz="4" w:space="0"/>
              <w:right w:val="single" w:color="000000" w:sz="4" w:space="0"/>
            </w:tcBorders>
            <w:vAlign w:val="center"/>
          </w:tcPr>
          <w:p w14:paraId="58B39FE6">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4</w:t>
            </w:r>
            <w:r>
              <w:rPr>
                <w:rFonts w:ascii="仿宋_GB2312" w:hAnsi="仿宋_GB2312" w:eastAsia="仿宋_GB2312" w:cs="仿宋_GB2312"/>
                <w:sz w:val="20"/>
                <w:szCs w:val="20"/>
              </w:rPr>
              <w:t>7</w:t>
            </w:r>
          </w:p>
        </w:tc>
        <w:tc>
          <w:tcPr>
            <w:tcW w:w="1709" w:type="dxa"/>
            <w:gridSpan w:val="2"/>
            <w:tcBorders>
              <w:top w:val="single" w:color="auto" w:sz="4" w:space="0"/>
              <w:left w:val="nil"/>
              <w:bottom w:val="single" w:color="auto" w:sz="4" w:space="0"/>
              <w:right w:val="single" w:color="000000" w:sz="4" w:space="0"/>
            </w:tcBorders>
            <w:vAlign w:val="center"/>
          </w:tcPr>
          <w:p w14:paraId="7E0A23E7">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6</w:t>
            </w:r>
            <w:r>
              <w:rPr>
                <w:rFonts w:ascii="仿宋_GB2312" w:hAnsi="仿宋_GB2312" w:eastAsia="仿宋_GB2312" w:cs="仿宋_GB2312"/>
                <w:sz w:val="20"/>
                <w:szCs w:val="20"/>
              </w:rPr>
              <w:t>3.99</w:t>
            </w:r>
          </w:p>
        </w:tc>
      </w:tr>
      <w:tr w14:paraId="4C424D73">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1817C09F">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其中：办公经费</w:t>
            </w:r>
          </w:p>
        </w:tc>
        <w:tc>
          <w:tcPr>
            <w:tcW w:w="2038" w:type="dxa"/>
            <w:gridSpan w:val="2"/>
            <w:tcBorders>
              <w:top w:val="single" w:color="auto" w:sz="4" w:space="0"/>
              <w:left w:val="nil"/>
              <w:bottom w:val="single" w:color="auto" w:sz="4" w:space="0"/>
              <w:right w:val="single" w:color="000000" w:sz="4" w:space="0"/>
            </w:tcBorders>
            <w:vAlign w:val="center"/>
          </w:tcPr>
          <w:p w14:paraId="6245436A">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8.69</w:t>
            </w:r>
          </w:p>
        </w:tc>
        <w:tc>
          <w:tcPr>
            <w:tcW w:w="2240" w:type="dxa"/>
            <w:gridSpan w:val="2"/>
            <w:tcBorders>
              <w:top w:val="single" w:color="auto" w:sz="4" w:space="0"/>
              <w:left w:val="nil"/>
              <w:bottom w:val="single" w:color="auto" w:sz="4" w:space="0"/>
              <w:right w:val="single" w:color="000000" w:sz="4" w:space="0"/>
            </w:tcBorders>
            <w:vAlign w:val="center"/>
          </w:tcPr>
          <w:p w14:paraId="1638276E">
            <w:pPr>
              <w:widowControl/>
              <w:spacing w:line="360" w:lineRule="exact"/>
              <w:jc w:val="center"/>
              <w:rPr>
                <w:rFonts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14:textFill>
                  <w14:solidFill>
                    <w14:schemeClr w14:val="tx1"/>
                  </w14:solidFill>
                </w14:textFill>
              </w:rPr>
              <w:t>7</w:t>
            </w:r>
            <w:r>
              <w:rPr>
                <w:rFonts w:ascii="仿宋_GB2312" w:hAnsi="仿宋_GB2312" w:eastAsia="仿宋_GB2312" w:cs="仿宋_GB2312"/>
                <w:color w:val="000000" w:themeColor="text1"/>
                <w:sz w:val="20"/>
                <w:szCs w:val="20"/>
                <w14:textFill>
                  <w14:solidFill>
                    <w14:schemeClr w14:val="tx1"/>
                  </w14:solidFill>
                </w14:textFill>
              </w:rPr>
              <w:t>.35</w:t>
            </w:r>
          </w:p>
        </w:tc>
        <w:tc>
          <w:tcPr>
            <w:tcW w:w="1709" w:type="dxa"/>
            <w:gridSpan w:val="2"/>
            <w:tcBorders>
              <w:top w:val="single" w:color="auto" w:sz="4" w:space="0"/>
              <w:left w:val="nil"/>
              <w:bottom w:val="single" w:color="auto" w:sz="4" w:space="0"/>
              <w:right w:val="single" w:color="000000" w:sz="4" w:space="0"/>
            </w:tcBorders>
            <w:vAlign w:val="center"/>
          </w:tcPr>
          <w:p w14:paraId="034D6C59">
            <w:pPr>
              <w:widowControl/>
              <w:spacing w:line="360" w:lineRule="exact"/>
              <w:jc w:val="center"/>
              <w:rPr>
                <w:rFonts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14:textFill>
                  <w14:solidFill>
                    <w14:schemeClr w14:val="tx1"/>
                  </w14:solidFill>
                </w14:textFill>
              </w:rPr>
              <w:t>9</w:t>
            </w:r>
            <w:r>
              <w:rPr>
                <w:rFonts w:ascii="仿宋_GB2312" w:hAnsi="仿宋_GB2312" w:eastAsia="仿宋_GB2312" w:cs="仿宋_GB2312"/>
                <w:color w:val="000000" w:themeColor="text1"/>
                <w:sz w:val="20"/>
                <w:szCs w:val="20"/>
                <w14:textFill>
                  <w14:solidFill>
                    <w14:schemeClr w14:val="tx1"/>
                  </w14:solidFill>
                </w14:textFill>
              </w:rPr>
              <w:t>.94</w:t>
            </w:r>
          </w:p>
        </w:tc>
      </w:tr>
      <w:tr w14:paraId="70EF7058">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26A21AAF">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水费、电费、差旅费</w:t>
            </w:r>
          </w:p>
        </w:tc>
        <w:tc>
          <w:tcPr>
            <w:tcW w:w="2038" w:type="dxa"/>
            <w:gridSpan w:val="2"/>
            <w:tcBorders>
              <w:top w:val="single" w:color="auto" w:sz="4" w:space="0"/>
              <w:left w:val="nil"/>
              <w:bottom w:val="single" w:color="auto" w:sz="4" w:space="0"/>
              <w:right w:val="single" w:color="000000" w:sz="4" w:space="0"/>
            </w:tcBorders>
            <w:vAlign w:val="center"/>
          </w:tcPr>
          <w:p w14:paraId="33E67741">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0.71</w:t>
            </w:r>
          </w:p>
        </w:tc>
        <w:tc>
          <w:tcPr>
            <w:tcW w:w="2240" w:type="dxa"/>
            <w:gridSpan w:val="2"/>
            <w:tcBorders>
              <w:top w:val="single" w:color="auto" w:sz="4" w:space="0"/>
              <w:left w:val="nil"/>
              <w:bottom w:val="single" w:color="auto" w:sz="4" w:space="0"/>
              <w:right w:val="single" w:color="000000" w:sz="4" w:space="0"/>
            </w:tcBorders>
            <w:vAlign w:val="center"/>
          </w:tcPr>
          <w:p w14:paraId="2B79BDA0">
            <w:pPr>
              <w:widowControl/>
              <w:spacing w:line="360" w:lineRule="exact"/>
              <w:jc w:val="center"/>
              <w:rPr>
                <w:rFonts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14:textFill>
                  <w14:solidFill>
                    <w14:schemeClr w14:val="tx1"/>
                  </w14:solidFill>
                </w14:textFill>
              </w:rPr>
              <w:t>1</w:t>
            </w:r>
          </w:p>
        </w:tc>
        <w:tc>
          <w:tcPr>
            <w:tcW w:w="1709" w:type="dxa"/>
            <w:gridSpan w:val="2"/>
            <w:tcBorders>
              <w:top w:val="single" w:color="auto" w:sz="4" w:space="0"/>
              <w:left w:val="nil"/>
              <w:bottom w:val="single" w:color="auto" w:sz="4" w:space="0"/>
              <w:right w:val="single" w:color="000000" w:sz="4" w:space="0"/>
            </w:tcBorders>
            <w:vAlign w:val="center"/>
          </w:tcPr>
          <w:p w14:paraId="786C61C3">
            <w:pPr>
              <w:widowControl/>
              <w:spacing w:line="360" w:lineRule="exact"/>
              <w:jc w:val="center"/>
              <w:rPr>
                <w:rFonts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14:textFill>
                  <w14:solidFill>
                    <w14:schemeClr w14:val="tx1"/>
                  </w14:solidFill>
                </w14:textFill>
              </w:rPr>
              <w:t>2</w:t>
            </w:r>
            <w:r>
              <w:rPr>
                <w:rFonts w:ascii="仿宋_GB2312" w:hAnsi="仿宋_GB2312" w:eastAsia="仿宋_GB2312" w:cs="仿宋_GB2312"/>
                <w:color w:val="000000" w:themeColor="text1"/>
                <w:sz w:val="20"/>
                <w:szCs w:val="20"/>
                <w14:textFill>
                  <w14:solidFill>
                    <w14:schemeClr w14:val="tx1"/>
                  </w14:solidFill>
                </w14:textFill>
              </w:rPr>
              <w:t>.82</w:t>
            </w:r>
          </w:p>
        </w:tc>
      </w:tr>
      <w:tr w14:paraId="57C79BDF">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2CB5DF93">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会议费、培训费</w:t>
            </w:r>
          </w:p>
        </w:tc>
        <w:tc>
          <w:tcPr>
            <w:tcW w:w="2038" w:type="dxa"/>
            <w:gridSpan w:val="2"/>
            <w:tcBorders>
              <w:top w:val="single" w:color="auto" w:sz="4" w:space="0"/>
              <w:left w:val="nil"/>
              <w:bottom w:val="single" w:color="auto" w:sz="4" w:space="0"/>
              <w:right w:val="single" w:color="000000" w:sz="4" w:space="0"/>
            </w:tcBorders>
            <w:vAlign w:val="center"/>
          </w:tcPr>
          <w:p w14:paraId="584ECAC4">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0.49</w:t>
            </w:r>
          </w:p>
        </w:tc>
        <w:tc>
          <w:tcPr>
            <w:tcW w:w="2240" w:type="dxa"/>
            <w:gridSpan w:val="2"/>
            <w:tcBorders>
              <w:top w:val="single" w:color="auto" w:sz="4" w:space="0"/>
              <w:left w:val="nil"/>
              <w:bottom w:val="single" w:color="auto" w:sz="4" w:space="0"/>
              <w:right w:val="single" w:color="000000" w:sz="4" w:space="0"/>
            </w:tcBorders>
            <w:vAlign w:val="center"/>
          </w:tcPr>
          <w:p w14:paraId="61C59C2A">
            <w:pPr>
              <w:widowControl/>
              <w:spacing w:line="360" w:lineRule="exact"/>
              <w:jc w:val="center"/>
              <w:rPr>
                <w:rFonts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14:textFill>
                  <w14:solidFill>
                    <w14:schemeClr w14:val="tx1"/>
                  </w14:solidFill>
                </w14:textFill>
              </w:rPr>
              <w:t>1</w:t>
            </w:r>
            <w:r>
              <w:rPr>
                <w:rFonts w:ascii="仿宋_GB2312" w:hAnsi="仿宋_GB2312" w:eastAsia="仿宋_GB2312" w:cs="仿宋_GB2312"/>
                <w:color w:val="000000" w:themeColor="text1"/>
                <w:sz w:val="20"/>
                <w:szCs w:val="20"/>
                <w14:textFill>
                  <w14:solidFill>
                    <w14:schemeClr w14:val="tx1"/>
                  </w14:solidFill>
                </w14:textFill>
              </w:rPr>
              <w:t>.5</w:t>
            </w:r>
          </w:p>
        </w:tc>
        <w:tc>
          <w:tcPr>
            <w:tcW w:w="1709" w:type="dxa"/>
            <w:gridSpan w:val="2"/>
            <w:tcBorders>
              <w:top w:val="single" w:color="auto" w:sz="4" w:space="0"/>
              <w:left w:val="nil"/>
              <w:bottom w:val="single" w:color="auto" w:sz="4" w:space="0"/>
              <w:right w:val="single" w:color="000000" w:sz="4" w:space="0"/>
            </w:tcBorders>
            <w:vAlign w:val="center"/>
          </w:tcPr>
          <w:p w14:paraId="7504E4BA">
            <w:pPr>
              <w:widowControl/>
              <w:spacing w:line="360" w:lineRule="exact"/>
              <w:jc w:val="center"/>
              <w:rPr>
                <w:rFonts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14:textFill>
                  <w14:solidFill>
                    <w14:schemeClr w14:val="tx1"/>
                  </w14:solidFill>
                </w14:textFill>
              </w:rPr>
              <w:t>4</w:t>
            </w:r>
            <w:r>
              <w:rPr>
                <w:rFonts w:ascii="仿宋_GB2312" w:hAnsi="仿宋_GB2312" w:eastAsia="仿宋_GB2312" w:cs="仿宋_GB2312"/>
                <w:color w:val="000000" w:themeColor="text1"/>
                <w:sz w:val="20"/>
                <w:szCs w:val="20"/>
                <w14:textFill>
                  <w14:solidFill>
                    <w14:schemeClr w14:val="tx1"/>
                  </w14:solidFill>
                </w14:textFill>
              </w:rPr>
              <w:t>.56</w:t>
            </w:r>
          </w:p>
        </w:tc>
      </w:tr>
      <w:tr w14:paraId="08696C29">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1FB38DDC">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政府采购金额</w:t>
            </w:r>
          </w:p>
        </w:tc>
        <w:tc>
          <w:tcPr>
            <w:tcW w:w="2038" w:type="dxa"/>
            <w:gridSpan w:val="2"/>
            <w:tcBorders>
              <w:top w:val="single" w:color="auto" w:sz="4" w:space="0"/>
              <w:left w:val="nil"/>
              <w:bottom w:val="single" w:color="auto" w:sz="4" w:space="0"/>
              <w:right w:val="single" w:color="000000" w:sz="4" w:space="0"/>
            </w:tcBorders>
            <w:vAlign w:val="center"/>
          </w:tcPr>
          <w:p w14:paraId="4655EE37">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240" w:type="dxa"/>
            <w:gridSpan w:val="2"/>
            <w:tcBorders>
              <w:top w:val="single" w:color="auto" w:sz="4" w:space="0"/>
              <w:left w:val="nil"/>
              <w:bottom w:val="single" w:color="auto" w:sz="4" w:space="0"/>
              <w:right w:val="single" w:color="000000" w:sz="4" w:space="0"/>
            </w:tcBorders>
            <w:vAlign w:val="center"/>
          </w:tcPr>
          <w:p w14:paraId="69A07DC8">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90.5</w:t>
            </w:r>
          </w:p>
        </w:tc>
        <w:tc>
          <w:tcPr>
            <w:tcW w:w="1709" w:type="dxa"/>
            <w:gridSpan w:val="2"/>
            <w:tcBorders>
              <w:top w:val="single" w:color="auto" w:sz="4" w:space="0"/>
              <w:left w:val="nil"/>
              <w:bottom w:val="single" w:color="auto" w:sz="4" w:space="0"/>
              <w:right w:val="single" w:color="000000" w:sz="4" w:space="0"/>
            </w:tcBorders>
            <w:vAlign w:val="center"/>
          </w:tcPr>
          <w:p w14:paraId="4D065EA3">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7</w:t>
            </w:r>
            <w:r>
              <w:rPr>
                <w:rFonts w:ascii="仿宋_GB2312" w:hAnsi="仿宋_GB2312" w:eastAsia="仿宋_GB2312" w:cs="仿宋_GB2312"/>
                <w:sz w:val="20"/>
                <w:szCs w:val="20"/>
              </w:rPr>
              <w:t>4.82</w:t>
            </w:r>
          </w:p>
        </w:tc>
      </w:tr>
      <w:tr w14:paraId="5BC51016">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4F67054F">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vAlign w:val="center"/>
          </w:tcPr>
          <w:p w14:paraId="3E438C2E">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240" w:type="dxa"/>
            <w:gridSpan w:val="2"/>
            <w:tcBorders>
              <w:top w:val="single" w:color="auto" w:sz="4" w:space="0"/>
              <w:left w:val="nil"/>
              <w:bottom w:val="single" w:color="auto" w:sz="4" w:space="0"/>
              <w:right w:val="single" w:color="000000" w:sz="4" w:space="0"/>
            </w:tcBorders>
            <w:vAlign w:val="center"/>
          </w:tcPr>
          <w:p w14:paraId="40658A71">
            <w:pPr>
              <w:widowControl/>
              <w:spacing w:line="360" w:lineRule="exact"/>
              <w:jc w:val="center"/>
              <w:rPr>
                <w:rFonts w:ascii="仿宋_GB2312" w:hAnsi="仿宋_GB2312" w:eastAsia="仿宋_GB2312" w:cs="仿宋_GB2312"/>
                <w:sz w:val="20"/>
                <w:szCs w:val="20"/>
              </w:rPr>
            </w:pPr>
          </w:p>
        </w:tc>
        <w:tc>
          <w:tcPr>
            <w:tcW w:w="1709" w:type="dxa"/>
            <w:gridSpan w:val="2"/>
            <w:tcBorders>
              <w:top w:val="single" w:color="auto" w:sz="4" w:space="0"/>
              <w:left w:val="nil"/>
              <w:bottom w:val="single" w:color="auto" w:sz="4" w:space="0"/>
              <w:right w:val="single" w:color="000000" w:sz="4" w:space="0"/>
            </w:tcBorders>
            <w:vAlign w:val="center"/>
          </w:tcPr>
          <w:p w14:paraId="127CE0B4">
            <w:pPr>
              <w:widowControl/>
              <w:spacing w:line="360" w:lineRule="exact"/>
              <w:jc w:val="center"/>
              <w:rPr>
                <w:rFonts w:ascii="仿宋_GB2312" w:hAnsi="仿宋_GB2312" w:eastAsia="仿宋_GB2312" w:cs="仿宋_GB2312"/>
                <w:sz w:val="20"/>
                <w:szCs w:val="20"/>
              </w:rPr>
            </w:pPr>
          </w:p>
        </w:tc>
      </w:tr>
      <w:tr w14:paraId="5A9BC559">
        <w:tblPrEx>
          <w:tblCellMar>
            <w:top w:w="0" w:type="dxa"/>
            <w:left w:w="108" w:type="dxa"/>
            <w:bottom w:w="0" w:type="dxa"/>
            <w:right w:w="108" w:type="dxa"/>
          </w:tblCellMar>
        </w:tblPrEx>
        <w:trPr>
          <w:jc w:val="center"/>
        </w:trPr>
        <w:tc>
          <w:tcPr>
            <w:tcW w:w="3354" w:type="dxa"/>
            <w:vMerge w:val="restart"/>
            <w:tcBorders>
              <w:top w:val="nil"/>
              <w:left w:val="single" w:color="auto" w:sz="4" w:space="0"/>
              <w:bottom w:val="single" w:color="auto" w:sz="4" w:space="0"/>
              <w:right w:val="single" w:color="auto" w:sz="4" w:space="0"/>
            </w:tcBorders>
            <w:vAlign w:val="center"/>
          </w:tcPr>
          <w:p w14:paraId="0E1DD334">
            <w:pPr>
              <w:widowControl/>
              <w:spacing w:line="360" w:lineRule="exact"/>
              <w:jc w:val="center"/>
              <w:rPr>
                <w:rFonts w:hint="eastAsia" w:ascii="仿宋_GB2312" w:hAnsi="仿宋_GB2312" w:eastAsia="仿宋_GB2312" w:cs="仿宋_GB2312"/>
                <w:sz w:val="20"/>
                <w:szCs w:val="20"/>
                <w:lang w:eastAsia="zh-CN"/>
              </w:rPr>
            </w:pPr>
            <w:r>
              <w:rPr>
                <w:rFonts w:hint="eastAsia" w:ascii="仿宋_GB2312" w:hAnsi="仿宋_GB2312" w:eastAsia="仿宋_GB2312" w:cs="仿宋_GB2312"/>
                <w:sz w:val="20"/>
                <w:szCs w:val="20"/>
              </w:rPr>
              <w:t>楼堂馆所控制情况</w:t>
            </w:r>
          </w:p>
          <w:p w14:paraId="32070CC3">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（2023年完工项目）</w:t>
            </w:r>
          </w:p>
        </w:tc>
        <w:tc>
          <w:tcPr>
            <w:tcW w:w="1189" w:type="dxa"/>
            <w:tcBorders>
              <w:top w:val="nil"/>
              <w:left w:val="nil"/>
              <w:bottom w:val="single" w:color="auto" w:sz="4" w:space="0"/>
              <w:right w:val="single" w:color="auto" w:sz="4" w:space="0"/>
            </w:tcBorders>
            <w:vAlign w:val="center"/>
          </w:tcPr>
          <w:p w14:paraId="02868539">
            <w:pPr>
              <w:widowControl/>
              <w:spacing w:line="360" w:lineRule="exact"/>
              <w:jc w:val="center"/>
              <w:rPr>
                <w:rFonts w:hint="eastAsia" w:ascii="仿宋_GB2312" w:hAnsi="仿宋_GB2312" w:eastAsia="仿宋_GB2312" w:cs="仿宋_GB2312"/>
                <w:bCs/>
                <w:sz w:val="20"/>
                <w:szCs w:val="20"/>
                <w:lang w:eastAsia="zh-CN"/>
              </w:rPr>
            </w:pPr>
            <w:r>
              <w:rPr>
                <w:rFonts w:hint="eastAsia" w:ascii="仿宋_GB2312" w:hAnsi="仿宋_GB2312" w:eastAsia="仿宋_GB2312" w:cs="仿宋_GB2312"/>
                <w:bCs/>
                <w:sz w:val="20"/>
                <w:szCs w:val="20"/>
              </w:rPr>
              <w:t>批复规模</w:t>
            </w:r>
          </w:p>
          <w:p w14:paraId="5381567A">
            <w:pPr>
              <w:widowControl/>
              <w:spacing w:line="360" w:lineRule="exact"/>
              <w:jc w:val="cente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w:t>
            </w:r>
          </w:p>
        </w:tc>
        <w:tc>
          <w:tcPr>
            <w:tcW w:w="849" w:type="dxa"/>
            <w:tcBorders>
              <w:top w:val="nil"/>
              <w:left w:val="nil"/>
              <w:bottom w:val="single" w:color="auto" w:sz="4" w:space="0"/>
              <w:right w:val="single" w:color="auto" w:sz="4" w:space="0"/>
            </w:tcBorders>
            <w:vAlign w:val="center"/>
          </w:tcPr>
          <w:p w14:paraId="23DF64A8">
            <w:pPr>
              <w:widowControl/>
              <w:spacing w:line="360" w:lineRule="exact"/>
              <w:jc w:val="cente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实际规模（㎡）</w:t>
            </w:r>
          </w:p>
        </w:tc>
        <w:tc>
          <w:tcPr>
            <w:tcW w:w="1129" w:type="dxa"/>
            <w:tcBorders>
              <w:top w:val="nil"/>
              <w:left w:val="nil"/>
              <w:bottom w:val="single" w:color="auto" w:sz="4" w:space="0"/>
              <w:right w:val="single" w:color="auto" w:sz="4" w:space="0"/>
            </w:tcBorders>
            <w:vAlign w:val="center"/>
          </w:tcPr>
          <w:p w14:paraId="4C254ECE">
            <w:pPr>
              <w:widowControl/>
              <w:spacing w:line="360" w:lineRule="exact"/>
              <w:jc w:val="cente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规模控制率</w:t>
            </w:r>
          </w:p>
        </w:tc>
        <w:tc>
          <w:tcPr>
            <w:tcW w:w="1111" w:type="dxa"/>
            <w:tcBorders>
              <w:top w:val="nil"/>
              <w:left w:val="nil"/>
              <w:bottom w:val="single" w:color="auto" w:sz="4" w:space="0"/>
              <w:right w:val="single" w:color="auto" w:sz="4" w:space="0"/>
            </w:tcBorders>
            <w:vAlign w:val="center"/>
          </w:tcPr>
          <w:p w14:paraId="4E4D2381">
            <w:pPr>
              <w:widowControl/>
              <w:spacing w:line="360" w:lineRule="exact"/>
              <w:jc w:val="cente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预算投资（万元）</w:t>
            </w:r>
          </w:p>
        </w:tc>
        <w:tc>
          <w:tcPr>
            <w:tcW w:w="1081" w:type="dxa"/>
            <w:tcBorders>
              <w:top w:val="nil"/>
              <w:left w:val="nil"/>
              <w:bottom w:val="single" w:color="auto" w:sz="4" w:space="0"/>
              <w:right w:val="single" w:color="auto" w:sz="4" w:space="0"/>
            </w:tcBorders>
            <w:vAlign w:val="center"/>
          </w:tcPr>
          <w:p w14:paraId="0057F092">
            <w:pPr>
              <w:widowControl/>
              <w:spacing w:line="360" w:lineRule="exact"/>
              <w:jc w:val="cente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实际投资（万元）</w:t>
            </w:r>
          </w:p>
        </w:tc>
        <w:tc>
          <w:tcPr>
            <w:tcW w:w="628" w:type="dxa"/>
            <w:tcBorders>
              <w:top w:val="nil"/>
              <w:left w:val="nil"/>
              <w:bottom w:val="single" w:color="auto" w:sz="4" w:space="0"/>
              <w:right w:val="single" w:color="auto" w:sz="4" w:space="0"/>
            </w:tcBorders>
            <w:vAlign w:val="center"/>
          </w:tcPr>
          <w:p w14:paraId="48B4C94F">
            <w:pPr>
              <w:widowControl/>
              <w:spacing w:line="360" w:lineRule="exact"/>
              <w:jc w:val="cente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投资概算控制率</w:t>
            </w:r>
          </w:p>
        </w:tc>
      </w:tr>
      <w:tr w14:paraId="0512502A">
        <w:tblPrEx>
          <w:tblCellMar>
            <w:top w:w="0" w:type="dxa"/>
            <w:left w:w="108" w:type="dxa"/>
            <w:bottom w:w="0" w:type="dxa"/>
            <w:right w:w="108" w:type="dxa"/>
          </w:tblCellMar>
        </w:tblPrEx>
        <w:trPr>
          <w:jc w:val="center"/>
        </w:trPr>
        <w:tc>
          <w:tcPr>
            <w:tcW w:w="3354" w:type="dxa"/>
            <w:vMerge w:val="continue"/>
            <w:tcBorders>
              <w:top w:val="nil"/>
              <w:left w:val="single" w:color="auto" w:sz="4" w:space="0"/>
              <w:bottom w:val="single" w:color="auto" w:sz="4" w:space="0"/>
              <w:right w:val="single" w:color="auto" w:sz="4" w:space="0"/>
            </w:tcBorders>
            <w:vAlign w:val="center"/>
          </w:tcPr>
          <w:p w14:paraId="24EED3E8">
            <w:pPr>
              <w:widowControl/>
              <w:spacing w:line="360" w:lineRule="exact"/>
              <w:jc w:val="left"/>
              <w:rPr>
                <w:rFonts w:ascii="仿宋_GB2312" w:hAnsi="仿宋_GB2312" w:eastAsia="仿宋_GB2312" w:cs="仿宋_GB2312"/>
                <w:sz w:val="20"/>
                <w:szCs w:val="20"/>
              </w:rPr>
            </w:pPr>
          </w:p>
        </w:tc>
        <w:tc>
          <w:tcPr>
            <w:tcW w:w="1189" w:type="dxa"/>
            <w:tcBorders>
              <w:top w:val="nil"/>
              <w:left w:val="nil"/>
              <w:bottom w:val="single" w:color="auto" w:sz="4" w:space="0"/>
              <w:right w:val="single" w:color="auto" w:sz="4" w:space="0"/>
            </w:tcBorders>
            <w:vAlign w:val="center"/>
          </w:tcPr>
          <w:p w14:paraId="79442652">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849" w:type="dxa"/>
            <w:tcBorders>
              <w:top w:val="nil"/>
              <w:left w:val="nil"/>
              <w:bottom w:val="single" w:color="auto" w:sz="4" w:space="0"/>
              <w:right w:val="single" w:color="auto" w:sz="4" w:space="0"/>
            </w:tcBorders>
            <w:vAlign w:val="center"/>
          </w:tcPr>
          <w:p w14:paraId="467F1D16">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1129" w:type="dxa"/>
            <w:tcBorders>
              <w:top w:val="nil"/>
              <w:left w:val="nil"/>
              <w:bottom w:val="single" w:color="auto" w:sz="4" w:space="0"/>
              <w:right w:val="single" w:color="auto" w:sz="4" w:space="0"/>
            </w:tcBorders>
            <w:vAlign w:val="center"/>
          </w:tcPr>
          <w:p w14:paraId="158BB43B">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1111" w:type="dxa"/>
            <w:tcBorders>
              <w:top w:val="nil"/>
              <w:left w:val="nil"/>
              <w:bottom w:val="single" w:color="auto" w:sz="4" w:space="0"/>
              <w:right w:val="single" w:color="auto" w:sz="4" w:space="0"/>
            </w:tcBorders>
            <w:vAlign w:val="center"/>
          </w:tcPr>
          <w:p w14:paraId="2B8DE9BE">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1081" w:type="dxa"/>
            <w:tcBorders>
              <w:top w:val="nil"/>
              <w:left w:val="nil"/>
              <w:bottom w:val="single" w:color="auto" w:sz="4" w:space="0"/>
              <w:right w:val="single" w:color="auto" w:sz="4" w:space="0"/>
            </w:tcBorders>
            <w:vAlign w:val="center"/>
          </w:tcPr>
          <w:p w14:paraId="7E4CDB3D">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628" w:type="dxa"/>
            <w:tcBorders>
              <w:top w:val="nil"/>
              <w:left w:val="nil"/>
              <w:bottom w:val="single" w:color="auto" w:sz="4" w:space="0"/>
              <w:right w:val="single" w:color="auto" w:sz="4" w:space="0"/>
            </w:tcBorders>
            <w:vAlign w:val="center"/>
          </w:tcPr>
          <w:p w14:paraId="65839C5C">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r>
      <w:tr w14:paraId="5D41E257">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2A9A0D76">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厉行节约保障措施</w:t>
            </w:r>
          </w:p>
        </w:tc>
        <w:tc>
          <w:tcPr>
            <w:tcW w:w="5987" w:type="dxa"/>
            <w:gridSpan w:val="6"/>
            <w:tcBorders>
              <w:top w:val="single" w:color="auto" w:sz="4" w:space="0"/>
              <w:left w:val="nil"/>
              <w:bottom w:val="single" w:color="auto" w:sz="4" w:space="0"/>
              <w:right w:val="single" w:color="000000" w:sz="4" w:space="0"/>
            </w:tcBorders>
            <w:vAlign w:val="center"/>
          </w:tcPr>
          <w:p w14:paraId="7303362A">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严格预算执行，严控“三公”经费。</w:t>
            </w:r>
          </w:p>
        </w:tc>
      </w:tr>
    </w:tbl>
    <w:p w14:paraId="439511D3">
      <w:pPr>
        <w:widowControl/>
        <w:spacing w:line="400" w:lineRule="exact"/>
        <w:jc w:val="left"/>
        <w:rPr>
          <w:rFonts w:ascii="Times New Roman" w:hAnsi="Times New Roman" w:eastAsia="仿宋_GB2312"/>
          <w:sz w:val="22"/>
        </w:rPr>
      </w:pPr>
      <w:r>
        <w:rPr>
          <w:rFonts w:ascii="Times New Roman" w:hAnsi="Times New Roman" w:eastAsia="仿宋_GB2312"/>
          <w:sz w:val="22"/>
        </w:rPr>
        <w:t>说明：“项目支出”需要填报基本支出以外的所有项目支出情况，“公用经费”填报基本支出中的一般商品和服务支出。</w:t>
      </w:r>
    </w:p>
    <w:p w14:paraId="1C3B47F2">
      <w:pPr>
        <w:widowControl/>
        <w:spacing w:line="400" w:lineRule="exact"/>
        <w:jc w:val="left"/>
        <w:rPr>
          <w:rFonts w:ascii="Times New Roman" w:hAnsi="Times New Roman" w:eastAsia="仿宋_GB2312"/>
          <w:sz w:val="22"/>
        </w:rPr>
      </w:pPr>
    </w:p>
    <w:p w14:paraId="61CB37A4">
      <w:pPr>
        <w:widowControl/>
        <w:spacing w:line="400" w:lineRule="exact"/>
        <w:jc w:val="left"/>
        <w:rPr>
          <w:rFonts w:ascii="黑体" w:hAnsi="黑体" w:eastAsia="黑体" w:cs="黑体"/>
          <w:sz w:val="32"/>
          <w:szCs w:val="32"/>
        </w:rPr>
      </w:pPr>
      <w:r>
        <w:rPr>
          <w:rFonts w:ascii="Times New Roman" w:hAnsi="Times New Roman" w:eastAsia="仿宋_GB2312"/>
          <w:sz w:val="22"/>
        </w:rPr>
        <w:t>填表人：</w:t>
      </w:r>
      <w:r>
        <w:rPr>
          <w:rFonts w:hint="eastAsia" w:ascii="Times New Roman" w:hAnsi="Times New Roman" w:eastAsia="仿宋_GB2312"/>
          <w:sz w:val="22"/>
          <w:lang w:val="en-US" w:eastAsia="zh-CN"/>
        </w:rPr>
        <w:t>谢辉红</w:t>
      </w:r>
      <w:r>
        <w:rPr>
          <w:rFonts w:ascii="Times New Roman" w:hAnsi="Times New Roman" w:eastAsia="仿宋_GB2312"/>
          <w:sz w:val="22"/>
        </w:rPr>
        <w:t>填报日期：</w:t>
      </w:r>
      <w:r>
        <w:rPr>
          <w:rFonts w:hint="eastAsia" w:ascii="Times New Roman" w:hAnsi="Times New Roman" w:eastAsia="仿宋_GB2312"/>
          <w:sz w:val="22"/>
          <w:lang w:val="en-US" w:eastAsia="zh-CN"/>
        </w:rPr>
        <w:t>2024.06.20</w:t>
      </w:r>
      <w:r>
        <w:rPr>
          <w:rFonts w:ascii="Times New Roman" w:hAnsi="Times New Roman" w:eastAsia="仿宋_GB2312"/>
          <w:sz w:val="22"/>
        </w:rPr>
        <w:t xml:space="preserve"> 联系电话：</w:t>
      </w:r>
      <w:r>
        <w:rPr>
          <w:rFonts w:hint="eastAsia" w:ascii="Times New Roman" w:hAnsi="Times New Roman" w:eastAsia="仿宋_GB2312"/>
          <w:sz w:val="22"/>
          <w:lang w:val="en-US" w:eastAsia="zh-CN"/>
        </w:rPr>
        <w:t>13575004315</w:t>
      </w:r>
      <w:r>
        <w:rPr>
          <w:rFonts w:ascii="Times New Roman" w:hAnsi="Times New Roman" w:eastAsia="仿宋_GB2312"/>
          <w:sz w:val="22"/>
        </w:rPr>
        <w:t xml:space="preserve"> 单位负责人签字：</w:t>
      </w:r>
      <w:r>
        <w:rPr>
          <w:rFonts w:hint="eastAsia" w:ascii="Times New Roman" w:hAnsi="Times New Roman" w:eastAsia="仿宋_GB2312"/>
          <w:sz w:val="22"/>
          <w:lang w:val="en-US" w:eastAsia="zh-CN"/>
        </w:rPr>
        <w:t>陈剑</w:t>
      </w:r>
      <w:r>
        <w:rPr>
          <w:rFonts w:ascii="Times New Roman" w:hAnsi="Times New Roman" w:eastAsia="仿宋_GB2312"/>
          <w:sz w:val="22"/>
        </w:rPr>
        <w:br w:type="page"/>
      </w:r>
      <w:r>
        <w:rPr>
          <w:rFonts w:hint="eastAsia" w:ascii="黑体" w:hAnsi="黑体" w:eastAsia="黑体" w:cs="黑体"/>
          <w:sz w:val="32"/>
          <w:szCs w:val="32"/>
        </w:rPr>
        <w:t>附件2</w:t>
      </w:r>
    </w:p>
    <w:p w14:paraId="4C2275FB">
      <w:pPr>
        <w:widowControl/>
        <w:spacing w:after="156" w:afterLines="50"/>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2023年度部门整体支出绩效自评表</w:t>
      </w:r>
    </w:p>
    <w:tbl>
      <w:tblPr>
        <w:tblStyle w:val="12"/>
        <w:tblW w:w="9285"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652"/>
      </w:tblGrid>
      <w:tr w14:paraId="1D929265">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vAlign w:val="center"/>
          </w:tcPr>
          <w:p w14:paraId="6114EB22">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市级预算部门名称</w:t>
            </w:r>
          </w:p>
        </w:tc>
        <w:tc>
          <w:tcPr>
            <w:tcW w:w="8205" w:type="dxa"/>
            <w:gridSpan w:val="8"/>
            <w:tcBorders>
              <w:top w:val="single" w:color="auto" w:sz="4" w:space="0"/>
              <w:left w:val="nil"/>
              <w:bottom w:val="single" w:color="auto" w:sz="4" w:space="0"/>
              <w:right w:val="single" w:color="auto" w:sz="4" w:space="0"/>
            </w:tcBorders>
            <w:vAlign w:val="center"/>
          </w:tcPr>
          <w:p w14:paraId="7A8D661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岳阳市市场监督管理局城陵矶新港区分局</w:t>
            </w:r>
          </w:p>
        </w:tc>
      </w:tr>
      <w:tr w14:paraId="2C59EE74">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vAlign w:val="center"/>
          </w:tcPr>
          <w:p w14:paraId="1B06E0EB">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年度预</w:t>
            </w:r>
          </w:p>
          <w:p w14:paraId="153A9784">
            <w:pPr>
              <w:widowControl/>
              <w:spacing w:line="240" w:lineRule="exact"/>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rPr>
              <w:t>算申请</w:t>
            </w:r>
          </w:p>
          <w:p w14:paraId="71EF61FF">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（万元）</w:t>
            </w:r>
          </w:p>
        </w:tc>
        <w:tc>
          <w:tcPr>
            <w:tcW w:w="2114" w:type="dxa"/>
            <w:gridSpan w:val="2"/>
            <w:tcBorders>
              <w:top w:val="nil"/>
              <w:left w:val="nil"/>
              <w:bottom w:val="single" w:color="auto" w:sz="4" w:space="0"/>
              <w:right w:val="single" w:color="auto" w:sz="4" w:space="0"/>
            </w:tcBorders>
            <w:vAlign w:val="center"/>
          </w:tcPr>
          <w:p w14:paraId="078F708C">
            <w:pPr>
              <w:spacing w:line="240" w:lineRule="exact"/>
              <w:jc w:val="center"/>
              <w:rPr>
                <w:rFonts w:ascii="仿宋_GB2312" w:hAnsi="仿宋_GB2312" w:eastAsia="仿宋_GB2312" w:cs="仿宋_GB2312"/>
                <w:sz w:val="20"/>
                <w:szCs w:val="20"/>
              </w:rPr>
            </w:pPr>
          </w:p>
        </w:tc>
        <w:tc>
          <w:tcPr>
            <w:tcW w:w="1270" w:type="dxa"/>
            <w:tcBorders>
              <w:top w:val="nil"/>
              <w:left w:val="nil"/>
              <w:bottom w:val="single" w:color="auto" w:sz="4" w:space="0"/>
              <w:right w:val="single" w:color="auto" w:sz="4" w:space="0"/>
            </w:tcBorders>
            <w:vAlign w:val="center"/>
          </w:tcPr>
          <w:p w14:paraId="24DD568B">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年初预算数</w:t>
            </w:r>
          </w:p>
        </w:tc>
        <w:tc>
          <w:tcPr>
            <w:tcW w:w="1311" w:type="dxa"/>
            <w:tcBorders>
              <w:top w:val="nil"/>
              <w:left w:val="nil"/>
              <w:bottom w:val="single" w:color="auto" w:sz="4" w:space="0"/>
              <w:right w:val="single" w:color="auto" w:sz="4" w:space="0"/>
            </w:tcBorders>
            <w:vAlign w:val="center"/>
          </w:tcPr>
          <w:p w14:paraId="5A4DE85D">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全年预算数</w:t>
            </w:r>
          </w:p>
        </w:tc>
        <w:tc>
          <w:tcPr>
            <w:tcW w:w="1269" w:type="dxa"/>
            <w:tcBorders>
              <w:top w:val="nil"/>
              <w:left w:val="nil"/>
              <w:bottom w:val="single" w:color="auto" w:sz="4" w:space="0"/>
              <w:right w:val="single" w:color="auto" w:sz="4" w:space="0"/>
            </w:tcBorders>
            <w:vAlign w:val="center"/>
          </w:tcPr>
          <w:p w14:paraId="79D817C4">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全年执行数</w:t>
            </w:r>
          </w:p>
        </w:tc>
        <w:tc>
          <w:tcPr>
            <w:tcW w:w="716" w:type="dxa"/>
            <w:tcBorders>
              <w:top w:val="nil"/>
              <w:left w:val="nil"/>
              <w:bottom w:val="single" w:color="auto" w:sz="4" w:space="0"/>
              <w:right w:val="single" w:color="auto" w:sz="4" w:space="0"/>
            </w:tcBorders>
            <w:vAlign w:val="center"/>
          </w:tcPr>
          <w:p w14:paraId="7214AE30">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873" w:type="dxa"/>
            <w:tcBorders>
              <w:top w:val="nil"/>
              <w:left w:val="nil"/>
              <w:bottom w:val="single" w:color="auto" w:sz="4" w:space="0"/>
              <w:right w:val="single" w:color="auto" w:sz="4" w:space="0"/>
            </w:tcBorders>
            <w:vAlign w:val="center"/>
          </w:tcPr>
          <w:p w14:paraId="1E6B6E89">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652" w:type="dxa"/>
            <w:tcBorders>
              <w:top w:val="nil"/>
              <w:left w:val="nil"/>
              <w:bottom w:val="single" w:color="auto" w:sz="4" w:space="0"/>
              <w:right w:val="single" w:color="auto" w:sz="4" w:space="0"/>
            </w:tcBorders>
            <w:vAlign w:val="center"/>
          </w:tcPr>
          <w:p w14:paraId="1A7C446E">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14:paraId="195F9C87">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vAlign w:val="center"/>
          </w:tcPr>
          <w:p w14:paraId="111D9E5A">
            <w:pPr>
              <w:widowControl/>
              <w:spacing w:line="240" w:lineRule="exact"/>
              <w:jc w:val="center"/>
              <w:rPr>
                <w:rFonts w:ascii="仿宋_GB2312" w:hAnsi="仿宋_GB2312" w:eastAsia="仿宋_GB2312" w:cs="仿宋_GB2312"/>
                <w:color w:val="000000"/>
                <w:sz w:val="20"/>
                <w:szCs w:val="20"/>
              </w:rPr>
            </w:pPr>
          </w:p>
        </w:tc>
        <w:tc>
          <w:tcPr>
            <w:tcW w:w="2114" w:type="dxa"/>
            <w:gridSpan w:val="2"/>
            <w:tcBorders>
              <w:top w:val="nil"/>
              <w:left w:val="nil"/>
              <w:bottom w:val="single" w:color="auto" w:sz="4" w:space="0"/>
              <w:right w:val="single" w:color="auto" w:sz="4" w:space="0"/>
            </w:tcBorders>
            <w:vAlign w:val="center"/>
          </w:tcPr>
          <w:p w14:paraId="38509DBD">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color w:val="000000"/>
                <w:sz w:val="20"/>
                <w:szCs w:val="20"/>
              </w:rPr>
              <w:t>年度资金总额</w:t>
            </w:r>
          </w:p>
        </w:tc>
        <w:tc>
          <w:tcPr>
            <w:tcW w:w="1270" w:type="dxa"/>
            <w:tcBorders>
              <w:top w:val="nil"/>
              <w:left w:val="nil"/>
              <w:bottom w:val="single" w:color="auto" w:sz="4" w:space="0"/>
              <w:right w:val="single" w:color="auto" w:sz="4" w:space="0"/>
            </w:tcBorders>
            <w:vAlign w:val="center"/>
          </w:tcPr>
          <w:p w14:paraId="07C03A99">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2</w:t>
            </w:r>
            <w:r>
              <w:rPr>
                <w:rFonts w:ascii="仿宋_GB2312" w:hAnsi="仿宋_GB2312" w:eastAsia="仿宋_GB2312" w:cs="仿宋_GB2312"/>
                <w:sz w:val="20"/>
                <w:szCs w:val="20"/>
              </w:rPr>
              <w:t>60.31</w:t>
            </w:r>
          </w:p>
        </w:tc>
        <w:tc>
          <w:tcPr>
            <w:tcW w:w="1311" w:type="dxa"/>
            <w:tcBorders>
              <w:top w:val="nil"/>
              <w:left w:val="nil"/>
              <w:bottom w:val="single" w:color="auto" w:sz="4" w:space="0"/>
              <w:right w:val="single" w:color="auto" w:sz="4" w:space="0"/>
            </w:tcBorders>
            <w:vAlign w:val="center"/>
          </w:tcPr>
          <w:p w14:paraId="7494B860">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3</w:t>
            </w:r>
            <w:r>
              <w:rPr>
                <w:rFonts w:ascii="仿宋_GB2312" w:hAnsi="仿宋_GB2312" w:eastAsia="仿宋_GB2312" w:cs="仿宋_GB2312"/>
                <w:sz w:val="20"/>
                <w:szCs w:val="20"/>
              </w:rPr>
              <w:t>90.9</w:t>
            </w:r>
          </w:p>
        </w:tc>
        <w:tc>
          <w:tcPr>
            <w:tcW w:w="1269" w:type="dxa"/>
            <w:tcBorders>
              <w:top w:val="nil"/>
              <w:left w:val="nil"/>
              <w:bottom w:val="single" w:color="auto" w:sz="4" w:space="0"/>
              <w:right w:val="single" w:color="auto" w:sz="4" w:space="0"/>
            </w:tcBorders>
            <w:vAlign w:val="center"/>
          </w:tcPr>
          <w:p w14:paraId="08722EF1">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3</w:t>
            </w:r>
            <w:r>
              <w:rPr>
                <w:rFonts w:ascii="仿宋_GB2312" w:hAnsi="仿宋_GB2312" w:eastAsia="仿宋_GB2312" w:cs="仿宋_GB2312"/>
                <w:sz w:val="20"/>
                <w:szCs w:val="20"/>
              </w:rPr>
              <w:t>90.83</w:t>
            </w:r>
          </w:p>
        </w:tc>
        <w:tc>
          <w:tcPr>
            <w:tcW w:w="716" w:type="dxa"/>
            <w:tcBorders>
              <w:top w:val="nil"/>
              <w:left w:val="nil"/>
              <w:bottom w:val="single" w:color="auto" w:sz="4" w:space="0"/>
              <w:right w:val="single" w:color="auto" w:sz="4" w:space="0"/>
            </w:tcBorders>
            <w:vAlign w:val="center"/>
          </w:tcPr>
          <w:p w14:paraId="1F7F94F7">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10</w:t>
            </w:r>
          </w:p>
        </w:tc>
        <w:tc>
          <w:tcPr>
            <w:tcW w:w="873" w:type="dxa"/>
            <w:tcBorders>
              <w:top w:val="nil"/>
              <w:left w:val="nil"/>
              <w:bottom w:val="single" w:color="auto" w:sz="4" w:space="0"/>
              <w:right w:val="single" w:color="auto" w:sz="4" w:space="0"/>
            </w:tcBorders>
            <w:vAlign w:val="center"/>
          </w:tcPr>
          <w:p w14:paraId="7C829128">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9</w:t>
            </w:r>
            <w:r>
              <w:rPr>
                <w:rFonts w:ascii="仿宋_GB2312" w:hAnsi="仿宋_GB2312" w:eastAsia="仿宋_GB2312" w:cs="仿宋_GB2312"/>
                <w:sz w:val="20"/>
                <w:szCs w:val="20"/>
              </w:rPr>
              <w:t>9.98%</w:t>
            </w:r>
          </w:p>
        </w:tc>
        <w:tc>
          <w:tcPr>
            <w:tcW w:w="652" w:type="dxa"/>
            <w:tcBorders>
              <w:top w:val="nil"/>
              <w:left w:val="nil"/>
              <w:bottom w:val="single" w:color="auto" w:sz="4" w:space="0"/>
              <w:right w:val="single" w:color="auto" w:sz="4" w:space="0"/>
            </w:tcBorders>
            <w:vAlign w:val="center"/>
          </w:tcPr>
          <w:p w14:paraId="3807AC09">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9</w:t>
            </w:r>
            <w:r>
              <w:rPr>
                <w:rFonts w:ascii="仿宋_GB2312" w:hAnsi="仿宋_GB2312" w:eastAsia="仿宋_GB2312" w:cs="仿宋_GB2312"/>
                <w:sz w:val="20"/>
                <w:szCs w:val="20"/>
              </w:rPr>
              <w:t>.9</w:t>
            </w:r>
          </w:p>
        </w:tc>
      </w:tr>
      <w:tr w14:paraId="7C95E50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0404B6EC">
            <w:pPr>
              <w:widowControl/>
              <w:spacing w:line="240" w:lineRule="exact"/>
              <w:jc w:val="left"/>
              <w:rPr>
                <w:rFonts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vAlign w:val="center"/>
          </w:tcPr>
          <w:p w14:paraId="43EA20F9">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按收入性质分：</w:t>
            </w:r>
          </w:p>
        </w:tc>
        <w:tc>
          <w:tcPr>
            <w:tcW w:w="3510" w:type="dxa"/>
            <w:gridSpan w:val="4"/>
            <w:tcBorders>
              <w:top w:val="nil"/>
              <w:left w:val="nil"/>
              <w:bottom w:val="single" w:color="auto" w:sz="4" w:space="0"/>
              <w:right w:val="single" w:color="auto" w:sz="4" w:space="0"/>
            </w:tcBorders>
            <w:vAlign w:val="center"/>
          </w:tcPr>
          <w:p w14:paraId="07FFD4DD">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按支出性质分：</w:t>
            </w:r>
          </w:p>
        </w:tc>
      </w:tr>
      <w:tr w14:paraId="2641BB1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1D80D122">
            <w:pPr>
              <w:widowControl/>
              <w:spacing w:line="240" w:lineRule="exact"/>
              <w:jc w:val="left"/>
              <w:rPr>
                <w:rFonts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vAlign w:val="center"/>
          </w:tcPr>
          <w:p w14:paraId="71E3BBD2">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xml:space="preserve">  其中：  一般公共预算：2</w:t>
            </w:r>
            <w:r>
              <w:rPr>
                <w:rFonts w:ascii="仿宋_GB2312" w:hAnsi="仿宋_GB2312" w:eastAsia="仿宋_GB2312" w:cs="仿宋_GB2312"/>
                <w:color w:val="000000"/>
                <w:sz w:val="20"/>
                <w:szCs w:val="20"/>
              </w:rPr>
              <w:t>99.18</w:t>
            </w:r>
          </w:p>
        </w:tc>
        <w:tc>
          <w:tcPr>
            <w:tcW w:w="3510" w:type="dxa"/>
            <w:gridSpan w:val="4"/>
            <w:tcBorders>
              <w:top w:val="nil"/>
              <w:left w:val="nil"/>
              <w:bottom w:val="single" w:color="auto" w:sz="4" w:space="0"/>
              <w:right w:val="single" w:color="auto" w:sz="4" w:space="0"/>
            </w:tcBorders>
            <w:vAlign w:val="center"/>
          </w:tcPr>
          <w:p w14:paraId="48A96984">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其中：基本支出：3</w:t>
            </w:r>
            <w:r>
              <w:rPr>
                <w:rFonts w:hint="eastAsia" w:ascii="仿宋_GB2312" w:hAnsi="仿宋_GB2312" w:eastAsia="仿宋_GB2312" w:cs="仿宋_GB2312"/>
                <w:color w:val="000000"/>
                <w:sz w:val="20"/>
                <w:szCs w:val="20"/>
                <w:lang w:val="en-US" w:eastAsia="zh-CN"/>
              </w:rPr>
              <w:t>25.39</w:t>
            </w:r>
          </w:p>
        </w:tc>
      </w:tr>
      <w:tr w14:paraId="0FE009DE">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42B3BF98">
            <w:pPr>
              <w:widowControl/>
              <w:spacing w:line="240" w:lineRule="exact"/>
              <w:jc w:val="left"/>
              <w:rPr>
                <w:rFonts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vAlign w:val="center"/>
          </w:tcPr>
          <w:p w14:paraId="04C9FA52">
            <w:pPr>
              <w:widowControl/>
              <w:spacing w:line="240" w:lineRule="exact"/>
              <w:ind w:firstLine="800" w:firstLineChars="4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政府性基金拨款：</w:t>
            </w:r>
          </w:p>
        </w:tc>
        <w:tc>
          <w:tcPr>
            <w:tcW w:w="3510" w:type="dxa"/>
            <w:gridSpan w:val="4"/>
            <w:tcBorders>
              <w:top w:val="nil"/>
              <w:left w:val="nil"/>
              <w:bottom w:val="single" w:color="auto" w:sz="4" w:space="0"/>
              <w:right w:val="single" w:color="auto" w:sz="4" w:space="0"/>
            </w:tcBorders>
            <w:vAlign w:val="center"/>
          </w:tcPr>
          <w:p w14:paraId="5394D5EF">
            <w:pPr>
              <w:widowControl/>
              <w:spacing w:line="240" w:lineRule="exact"/>
              <w:ind w:firstLine="600" w:firstLineChars="300"/>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项目支出：</w:t>
            </w:r>
            <w:r>
              <w:rPr>
                <w:rFonts w:hint="eastAsia" w:ascii="仿宋_GB2312" w:hAnsi="仿宋_GB2312" w:eastAsia="仿宋_GB2312" w:cs="仿宋_GB2312"/>
                <w:color w:val="000000"/>
                <w:sz w:val="20"/>
                <w:szCs w:val="20"/>
                <w:lang w:val="en-US" w:eastAsia="zh-CN"/>
              </w:rPr>
              <w:t>65.44</w:t>
            </w:r>
          </w:p>
        </w:tc>
      </w:tr>
      <w:tr w14:paraId="561B09A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20E74D89">
            <w:pPr>
              <w:widowControl/>
              <w:spacing w:line="240" w:lineRule="exact"/>
              <w:jc w:val="left"/>
              <w:rPr>
                <w:rFonts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vAlign w:val="center"/>
          </w:tcPr>
          <w:p w14:paraId="649649F9">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纳入专户管理的非税收入拨款：</w:t>
            </w:r>
          </w:p>
        </w:tc>
        <w:tc>
          <w:tcPr>
            <w:tcW w:w="3510" w:type="dxa"/>
            <w:gridSpan w:val="4"/>
            <w:tcBorders>
              <w:top w:val="nil"/>
              <w:left w:val="nil"/>
              <w:bottom w:val="single" w:color="auto" w:sz="4" w:space="0"/>
              <w:right w:val="single" w:color="auto" w:sz="4" w:space="0"/>
            </w:tcBorders>
            <w:vAlign w:val="center"/>
          </w:tcPr>
          <w:p w14:paraId="74A0C10D">
            <w:pPr>
              <w:widowControl/>
              <w:spacing w:line="240" w:lineRule="exact"/>
              <w:jc w:val="left"/>
              <w:rPr>
                <w:rFonts w:ascii="仿宋_GB2312" w:hAnsi="仿宋_GB2312" w:eastAsia="仿宋_GB2312" w:cs="仿宋_GB2312"/>
                <w:color w:val="000000"/>
                <w:sz w:val="20"/>
                <w:szCs w:val="20"/>
              </w:rPr>
            </w:pPr>
          </w:p>
        </w:tc>
      </w:tr>
      <w:tr w14:paraId="527A4F64">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vAlign w:val="center"/>
          </w:tcPr>
          <w:p w14:paraId="664D53B5">
            <w:pPr>
              <w:widowControl/>
              <w:spacing w:line="240" w:lineRule="exact"/>
              <w:jc w:val="left"/>
              <w:rPr>
                <w:rFonts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vAlign w:val="center"/>
          </w:tcPr>
          <w:p w14:paraId="3F912803">
            <w:pPr>
              <w:widowControl/>
              <w:spacing w:line="240" w:lineRule="exact"/>
              <w:ind w:firstLine="1400" w:firstLineChars="7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其他资金：9</w:t>
            </w:r>
            <w:r>
              <w:rPr>
                <w:rFonts w:ascii="仿宋_GB2312" w:hAnsi="仿宋_GB2312" w:eastAsia="仿宋_GB2312" w:cs="仿宋_GB2312"/>
                <w:color w:val="000000"/>
                <w:sz w:val="20"/>
                <w:szCs w:val="20"/>
              </w:rPr>
              <w:t>1.71</w:t>
            </w:r>
          </w:p>
        </w:tc>
        <w:tc>
          <w:tcPr>
            <w:tcW w:w="3510" w:type="dxa"/>
            <w:gridSpan w:val="4"/>
            <w:tcBorders>
              <w:top w:val="nil"/>
              <w:left w:val="nil"/>
              <w:bottom w:val="single" w:color="auto" w:sz="4" w:space="0"/>
              <w:right w:val="single" w:color="auto" w:sz="4" w:space="0"/>
            </w:tcBorders>
            <w:vAlign w:val="center"/>
          </w:tcPr>
          <w:p w14:paraId="3EB8CC16">
            <w:pPr>
              <w:widowControl/>
              <w:spacing w:line="240" w:lineRule="exact"/>
              <w:jc w:val="left"/>
              <w:rPr>
                <w:rFonts w:ascii="仿宋_GB2312" w:hAnsi="仿宋_GB2312" w:eastAsia="仿宋_GB2312" w:cs="仿宋_GB2312"/>
                <w:color w:val="000000"/>
                <w:sz w:val="20"/>
                <w:szCs w:val="20"/>
              </w:rPr>
            </w:pPr>
          </w:p>
        </w:tc>
      </w:tr>
      <w:tr w14:paraId="73790661">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vAlign w:val="center"/>
          </w:tcPr>
          <w:p w14:paraId="3944A2A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695" w:type="dxa"/>
            <w:gridSpan w:val="4"/>
            <w:tcBorders>
              <w:top w:val="single" w:color="auto" w:sz="4" w:space="0"/>
              <w:left w:val="nil"/>
              <w:bottom w:val="single" w:color="auto" w:sz="4" w:space="0"/>
              <w:right w:val="single" w:color="000000" w:sz="4" w:space="0"/>
            </w:tcBorders>
            <w:vAlign w:val="center"/>
          </w:tcPr>
          <w:p w14:paraId="19205C53">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3510" w:type="dxa"/>
            <w:gridSpan w:val="4"/>
            <w:tcBorders>
              <w:top w:val="single" w:color="auto" w:sz="4" w:space="0"/>
              <w:left w:val="nil"/>
              <w:bottom w:val="single" w:color="auto" w:sz="4" w:space="0"/>
              <w:right w:val="single" w:color="auto" w:sz="4" w:space="0"/>
            </w:tcBorders>
            <w:vAlign w:val="center"/>
          </w:tcPr>
          <w:p w14:paraId="0982A177">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14:paraId="7BB0CB97">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14:paraId="04F6A144">
            <w:pPr>
              <w:widowControl/>
              <w:spacing w:line="240" w:lineRule="exact"/>
              <w:jc w:val="left"/>
              <w:rPr>
                <w:rFonts w:ascii="仿宋_GB2312" w:hAnsi="仿宋_GB2312" w:eastAsia="仿宋_GB2312" w:cs="仿宋_GB2312"/>
                <w:color w:val="000000"/>
                <w:sz w:val="20"/>
                <w:szCs w:val="20"/>
              </w:rPr>
            </w:pPr>
          </w:p>
        </w:tc>
        <w:tc>
          <w:tcPr>
            <w:tcW w:w="4695" w:type="dxa"/>
            <w:gridSpan w:val="4"/>
            <w:tcBorders>
              <w:top w:val="single" w:color="auto" w:sz="4" w:space="0"/>
              <w:left w:val="nil"/>
              <w:bottom w:val="single" w:color="auto" w:sz="4" w:space="0"/>
              <w:right w:val="single" w:color="000000" w:sz="4" w:space="0"/>
            </w:tcBorders>
            <w:vAlign w:val="center"/>
          </w:tcPr>
          <w:p w14:paraId="04956215">
            <w:pPr>
              <w:spacing w:line="320" w:lineRule="exact"/>
              <w:jc w:val="left"/>
              <w:textAlignment w:val="center"/>
              <w:rPr>
                <w:rFonts w:eastAsia="仿宋_GB2312"/>
                <w:sz w:val="24"/>
              </w:rPr>
            </w:pPr>
            <w:r>
              <w:rPr>
                <w:rFonts w:hint="eastAsia" w:eastAsia="仿宋_GB2312"/>
                <w:sz w:val="24"/>
              </w:rPr>
              <w:t>1、推进质量发展战略。推进质量提升工程，推进名牌发展战略，推进标准引领战略，推进产业转型升级，推进企业帮扶服务。</w:t>
            </w:r>
          </w:p>
          <w:p w14:paraId="71E071D4">
            <w:pPr>
              <w:spacing w:line="320" w:lineRule="exact"/>
              <w:jc w:val="left"/>
              <w:textAlignment w:val="center"/>
              <w:rPr>
                <w:rFonts w:eastAsia="仿宋_GB2312"/>
                <w:sz w:val="24"/>
              </w:rPr>
            </w:pPr>
            <w:r>
              <w:rPr>
                <w:rFonts w:hint="eastAsia" w:eastAsia="仿宋_GB2312"/>
                <w:sz w:val="24"/>
              </w:rPr>
              <w:t>2、加强质量安全监管。</w:t>
            </w:r>
          </w:p>
          <w:p w14:paraId="4A7BC6AE">
            <w:pPr>
              <w:spacing w:line="320" w:lineRule="exact"/>
              <w:jc w:val="left"/>
              <w:textAlignment w:val="center"/>
              <w:rPr>
                <w:rFonts w:eastAsia="仿宋_GB2312"/>
                <w:sz w:val="24"/>
              </w:rPr>
            </w:pPr>
            <w:r>
              <w:rPr>
                <w:rFonts w:hint="eastAsia" w:eastAsia="仿宋_GB2312"/>
                <w:sz w:val="24"/>
              </w:rPr>
              <w:t>3、加强质检工作,加强食品相关产品监管，加强民生计量监管，加强棉花和纤维制品监管等。</w:t>
            </w:r>
          </w:p>
          <w:p w14:paraId="0981D403">
            <w:pPr>
              <w:spacing w:line="320" w:lineRule="exact"/>
              <w:jc w:val="left"/>
              <w:textAlignment w:val="center"/>
              <w:rPr>
                <w:rFonts w:eastAsia="仿宋_GB2312"/>
                <w:sz w:val="24"/>
              </w:rPr>
            </w:pPr>
            <w:r>
              <w:rPr>
                <w:rFonts w:hint="eastAsia" w:eastAsia="仿宋_GB2312"/>
                <w:sz w:val="24"/>
              </w:rPr>
              <w:t>4、完成食品及保健食品、药品、医疗器械、化妆品等抽验工作。</w:t>
            </w:r>
          </w:p>
          <w:p w14:paraId="54AF1F8D">
            <w:pPr>
              <w:spacing w:line="320" w:lineRule="exact"/>
              <w:jc w:val="left"/>
              <w:textAlignment w:val="center"/>
              <w:rPr>
                <w:rFonts w:eastAsia="仿宋_GB2312"/>
                <w:sz w:val="24"/>
              </w:rPr>
            </w:pPr>
            <w:r>
              <w:rPr>
                <w:rFonts w:hint="eastAsia" w:eastAsia="仿宋_GB2312"/>
                <w:sz w:val="24"/>
              </w:rPr>
              <w:t>5、开展食品及保健食品、药品、医疗器械、化妆品企业监管及飞行检查工作。</w:t>
            </w:r>
          </w:p>
          <w:p w14:paraId="5D5A415B">
            <w:pPr>
              <w:spacing w:line="320" w:lineRule="exact"/>
              <w:jc w:val="left"/>
              <w:textAlignment w:val="center"/>
              <w:rPr>
                <w:rFonts w:eastAsia="仿宋_GB2312"/>
                <w:sz w:val="24"/>
              </w:rPr>
            </w:pPr>
            <w:r>
              <w:rPr>
                <w:rFonts w:hint="eastAsia" w:eastAsia="仿宋_GB2312"/>
                <w:sz w:val="24"/>
              </w:rPr>
              <w:t>6、加大食品药品犯罪打击力度，保障人民群众的饮食用药用械安全。</w:t>
            </w:r>
          </w:p>
          <w:p w14:paraId="6A8A37CB">
            <w:pPr>
              <w:spacing w:line="320" w:lineRule="exact"/>
              <w:jc w:val="left"/>
              <w:textAlignment w:val="center"/>
              <w:rPr>
                <w:rFonts w:eastAsia="仿宋_GB2312"/>
                <w:sz w:val="24"/>
              </w:rPr>
            </w:pPr>
            <w:r>
              <w:rPr>
                <w:rFonts w:hint="eastAsia" w:eastAsia="仿宋_GB2312"/>
                <w:sz w:val="24"/>
              </w:rPr>
              <w:t>7、开展食品安全宣传周和安全用药月活动。</w:t>
            </w:r>
          </w:p>
          <w:p w14:paraId="538B4AA0">
            <w:pPr>
              <w:spacing w:line="320" w:lineRule="exact"/>
              <w:jc w:val="left"/>
              <w:textAlignment w:val="center"/>
              <w:rPr>
                <w:rFonts w:eastAsia="仿宋_GB2312"/>
                <w:sz w:val="24"/>
              </w:rPr>
            </w:pPr>
            <w:r>
              <w:rPr>
                <w:rFonts w:hint="eastAsia" w:eastAsia="仿宋_GB2312"/>
                <w:sz w:val="24"/>
              </w:rPr>
              <w:t>8、对监管队伍及从业人员进行专业知识培训。</w:t>
            </w:r>
          </w:p>
          <w:p w14:paraId="21BABAD6">
            <w:pPr>
              <w:spacing w:line="320" w:lineRule="exact"/>
              <w:jc w:val="left"/>
              <w:textAlignment w:val="center"/>
              <w:rPr>
                <w:rFonts w:eastAsia="仿宋_GB2312"/>
                <w:sz w:val="24"/>
              </w:rPr>
            </w:pPr>
            <w:r>
              <w:rPr>
                <w:rFonts w:hint="eastAsia" w:eastAsia="仿宋_GB2312"/>
                <w:sz w:val="24"/>
              </w:rPr>
              <w:t>9、提高应急能力水平和基层装备配备水平。</w:t>
            </w:r>
          </w:p>
          <w:p w14:paraId="139E6E00">
            <w:pPr>
              <w:spacing w:line="320" w:lineRule="exact"/>
              <w:jc w:val="left"/>
              <w:textAlignment w:val="center"/>
              <w:rPr>
                <w:rFonts w:eastAsia="仿宋_GB2312"/>
                <w:sz w:val="24"/>
              </w:rPr>
            </w:pPr>
            <w:r>
              <w:rPr>
                <w:rFonts w:hint="eastAsia" w:eastAsia="仿宋_GB2312"/>
                <w:sz w:val="24"/>
              </w:rPr>
              <w:t>10、坚持商事改革为主线，服务全民创新创业。</w:t>
            </w:r>
          </w:p>
          <w:p w14:paraId="3FEEA9B3">
            <w:pPr>
              <w:spacing w:line="320" w:lineRule="exact"/>
              <w:jc w:val="left"/>
              <w:textAlignment w:val="center"/>
              <w:rPr>
                <w:rFonts w:eastAsia="仿宋_GB2312"/>
                <w:sz w:val="24"/>
              </w:rPr>
            </w:pPr>
            <w:r>
              <w:rPr>
                <w:rFonts w:hint="eastAsia" w:eastAsia="仿宋_GB2312"/>
                <w:sz w:val="24"/>
              </w:rPr>
              <w:t>11、坚持市场监管为主责，营造良好市场环境。</w:t>
            </w:r>
          </w:p>
          <w:p w14:paraId="41F11E9B">
            <w:pPr>
              <w:widowControl/>
              <w:spacing w:line="240" w:lineRule="exact"/>
              <w:jc w:val="center"/>
              <w:rPr>
                <w:rFonts w:ascii="仿宋_GB2312" w:hAnsi="仿宋_GB2312" w:eastAsia="仿宋_GB2312" w:cs="仿宋_GB2312"/>
                <w:color w:val="000000"/>
                <w:sz w:val="20"/>
                <w:szCs w:val="20"/>
              </w:rPr>
            </w:pPr>
            <w:r>
              <w:rPr>
                <w:rFonts w:hint="eastAsia" w:eastAsia="仿宋_GB2312"/>
                <w:sz w:val="24"/>
              </w:rPr>
              <w:t>12、坚持消费维权为主业，消费维权扎实有为。</w:t>
            </w:r>
          </w:p>
        </w:tc>
        <w:tc>
          <w:tcPr>
            <w:tcW w:w="3510" w:type="dxa"/>
            <w:gridSpan w:val="4"/>
            <w:tcBorders>
              <w:top w:val="single" w:color="auto" w:sz="4" w:space="0"/>
              <w:left w:val="nil"/>
              <w:bottom w:val="single" w:color="auto" w:sz="4" w:space="0"/>
              <w:right w:val="single" w:color="auto" w:sz="4" w:space="0"/>
            </w:tcBorders>
            <w:vAlign w:val="center"/>
          </w:tcPr>
          <w:p w14:paraId="5A2FED55">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部门整体支出管理情况得到了提升，较好地完成了市场监管领域各项工作。</w:t>
            </w:r>
          </w:p>
        </w:tc>
      </w:tr>
      <w:tr w14:paraId="6A071121">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vAlign w:val="center"/>
          </w:tcPr>
          <w:p w14:paraId="487F476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14:paraId="55E33BD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14:paraId="097AB55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14:paraId="438C94F7">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p w14:paraId="033B9BF4">
            <w:pPr>
              <w:widowControl/>
              <w:spacing w:line="240" w:lineRule="exact"/>
              <w:jc w:val="center"/>
              <w:rPr>
                <w:rFonts w:ascii="仿宋_GB2312" w:hAnsi="仿宋_GB2312" w:eastAsia="仿宋_GB2312" w:cs="仿宋_GB2312"/>
                <w:color w:val="000000"/>
                <w:sz w:val="20"/>
                <w:szCs w:val="20"/>
              </w:rPr>
            </w:pPr>
          </w:p>
        </w:tc>
        <w:tc>
          <w:tcPr>
            <w:tcW w:w="1080" w:type="dxa"/>
            <w:tcBorders>
              <w:top w:val="single" w:color="auto" w:sz="4" w:space="0"/>
              <w:left w:val="nil"/>
              <w:bottom w:val="single" w:color="auto" w:sz="4" w:space="0"/>
              <w:right w:val="single" w:color="auto" w:sz="4" w:space="0"/>
            </w:tcBorders>
            <w:vAlign w:val="center"/>
          </w:tcPr>
          <w:p w14:paraId="20DA996A">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034" w:type="dxa"/>
            <w:tcBorders>
              <w:top w:val="single" w:color="auto" w:sz="4" w:space="0"/>
              <w:left w:val="nil"/>
              <w:bottom w:val="single" w:color="auto" w:sz="4" w:space="0"/>
              <w:right w:val="single" w:color="auto" w:sz="4" w:space="0"/>
            </w:tcBorders>
            <w:vAlign w:val="center"/>
          </w:tcPr>
          <w:p w14:paraId="7D3C2CB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1270" w:type="dxa"/>
            <w:tcBorders>
              <w:top w:val="single" w:color="auto" w:sz="4" w:space="0"/>
              <w:left w:val="nil"/>
              <w:bottom w:val="single" w:color="auto" w:sz="4" w:space="0"/>
              <w:right w:val="single" w:color="auto" w:sz="4" w:space="0"/>
            </w:tcBorders>
            <w:vAlign w:val="center"/>
          </w:tcPr>
          <w:p w14:paraId="088C0B40">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311" w:type="dxa"/>
            <w:tcBorders>
              <w:top w:val="nil"/>
              <w:left w:val="nil"/>
              <w:bottom w:val="single" w:color="auto" w:sz="4" w:space="0"/>
              <w:right w:val="single" w:color="auto" w:sz="4" w:space="0"/>
            </w:tcBorders>
            <w:vAlign w:val="center"/>
          </w:tcPr>
          <w:p w14:paraId="7F985483">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年度指标值</w:t>
            </w:r>
          </w:p>
        </w:tc>
        <w:tc>
          <w:tcPr>
            <w:tcW w:w="1269" w:type="dxa"/>
            <w:tcBorders>
              <w:top w:val="nil"/>
              <w:left w:val="nil"/>
              <w:bottom w:val="single" w:color="auto" w:sz="4" w:space="0"/>
              <w:right w:val="single" w:color="auto" w:sz="4" w:space="0"/>
            </w:tcBorders>
            <w:vAlign w:val="center"/>
          </w:tcPr>
          <w:p w14:paraId="11EF239F">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实际完成值</w:t>
            </w:r>
          </w:p>
        </w:tc>
        <w:tc>
          <w:tcPr>
            <w:tcW w:w="716" w:type="dxa"/>
            <w:tcBorders>
              <w:top w:val="nil"/>
              <w:left w:val="nil"/>
              <w:bottom w:val="single" w:color="auto" w:sz="4" w:space="0"/>
              <w:right w:val="single" w:color="auto" w:sz="4" w:space="0"/>
            </w:tcBorders>
            <w:vAlign w:val="center"/>
          </w:tcPr>
          <w:p w14:paraId="1E36525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873" w:type="dxa"/>
            <w:tcBorders>
              <w:top w:val="nil"/>
              <w:left w:val="nil"/>
              <w:bottom w:val="single" w:color="auto" w:sz="4" w:space="0"/>
              <w:right w:val="single" w:color="auto" w:sz="4" w:space="0"/>
            </w:tcBorders>
            <w:vAlign w:val="center"/>
          </w:tcPr>
          <w:p w14:paraId="2500D92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652" w:type="dxa"/>
            <w:tcBorders>
              <w:top w:val="nil"/>
              <w:left w:val="nil"/>
              <w:bottom w:val="single" w:color="auto" w:sz="4" w:space="0"/>
              <w:right w:val="single" w:color="auto" w:sz="4" w:space="0"/>
            </w:tcBorders>
            <w:vAlign w:val="center"/>
          </w:tcPr>
          <w:p w14:paraId="2C984E78">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14:paraId="60B4FD8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2C292064">
            <w:pPr>
              <w:spacing w:line="240" w:lineRule="exact"/>
              <w:jc w:val="left"/>
              <w:rPr>
                <w:rFonts w:ascii="仿宋_GB2312" w:hAnsi="仿宋_GB2312" w:eastAsia="仿宋_GB2312" w:cs="仿宋_GB2312"/>
                <w:color w:val="000000"/>
                <w:sz w:val="20"/>
                <w:szCs w:val="20"/>
              </w:rPr>
            </w:pPr>
          </w:p>
        </w:tc>
        <w:tc>
          <w:tcPr>
            <w:tcW w:w="1080" w:type="dxa"/>
            <w:vMerge w:val="restart"/>
            <w:tcBorders>
              <w:top w:val="single" w:color="auto" w:sz="4" w:space="0"/>
              <w:left w:val="nil"/>
              <w:bottom w:val="single" w:color="auto" w:sz="4" w:space="0"/>
              <w:right w:val="single" w:color="auto" w:sz="4" w:space="0"/>
            </w:tcBorders>
            <w:vAlign w:val="center"/>
          </w:tcPr>
          <w:p w14:paraId="40CC6A67">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14:paraId="7D1AD598">
            <w:pPr>
              <w:widowControl/>
              <w:spacing w:line="240" w:lineRule="exact"/>
              <w:jc w:val="center"/>
              <w:rPr>
                <w:rFonts w:ascii="仿宋_GB2312" w:hAnsi="仿宋_GB2312" w:eastAsia="仿宋_GB2312" w:cs="仿宋_GB2312"/>
                <w:color w:val="000000"/>
                <w:sz w:val="20"/>
                <w:szCs w:val="20"/>
              </w:rPr>
            </w:pPr>
          </w:p>
          <w:p w14:paraId="098122C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034" w:type="dxa"/>
            <w:vMerge w:val="restart"/>
            <w:tcBorders>
              <w:top w:val="single" w:color="auto" w:sz="4" w:space="0"/>
              <w:left w:val="nil"/>
              <w:bottom w:val="single" w:color="auto" w:sz="4" w:space="0"/>
              <w:right w:val="single" w:color="auto" w:sz="4" w:space="0"/>
            </w:tcBorders>
            <w:vAlign w:val="center"/>
          </w:tcPr>
          <w:p w14:paraId="3A20F29B">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1270" w:type="dxa"/>
            <w:tcBorders>
              <w:top w:val="single" w:color="auto" w:sz="4" w:space="0"/>
              <w:left w:val="nil"/>
              <w:bottom w:val="single" w:color="auto" w:sz="4" w:space="0"/>
              <w:right w:val="single" w:color="auto" w:sz="4" w:space="0"/>
            </w:tcBorders>
            <w:vAlign w:val="center"/>
          </w:tcPr>
          <w:p w14:paraId="1D07FFE0">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对生产企业进行监管检查服务</w:t>
            </w:r>
          </w:p>
        </w:tc>
        <w:tc>
          <w:tcPr>
            <w:tcW w:w="1311" w:type="dxa"/>
            <w:tcBorders>
              <w:top w:val="nil"/>
              <w:left w:val="nil"/>
              <w:bottom w:val="single" w:color="auto" w:sz="4" w:space="0"/>
              <w:right w:val="single" w:color="auto" w:sz="4" w:space="0"/>
            </w:tcBorders>
            <w:vAlign w:val="center"/>
          </w:tcPr>
          <w:p w14:paraId="56EFE680">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2669家</w:t>
            </w:r>
          </w:p>
        </w:tc>
        <w:tc>
          <w:tcPr>
            <w:tcW w:w="1269" w:type="dxa"/>
            <w:tcBorders>
              <w:top w:val="nil"/>
              <w:left w:val="nil"/>
              <w:bottom w:val="single" w:color="auto" w:sz="4" w:space="0"/>
              <w:right w:val="single" w:color="auto" w:sz="4" w:space="0"/>
            </w:tcBorders>
            <w:vAlign w:val="center"/>
          </w:tcPr>
          <w:p w14:paraId="4C6AAA32">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5299</w:t>
            </w:r>
            <w:r>
              <w:rPr>
                <w:rFonts w:hint="eastAsia" w:ascii="仿宋_GB2312" w:hAnsi="仿宋_GB2312" w:eastAsia="仿宋_GB2312" w:cs="仿宋_GB2312"/>
                <w:color w:val="000000"/>
                <w:sz w:val="20"/>
                <w:szCs w:val="20"/>
              </w:rPr>
              <w:t>家</w:t>
            </w:r>
          </w:p>
        </w:tc>
        <w:tc>
          <w:tcPr>
            <w:tcW w:w="716" w:type="dxa"/>
            <w:tcBorders>
              <w:top w:val="nil"/>
              <w:left w:val="nil"/>
              <w:bottom w:val="single" w:color="auto" w:sz="4" w:space="0"/>
              <w:right w:val="single" w:color="auto" w:sz="4" w:space="0"/>
            </w:tcBorders>
            <w:vAlign w:val="center"/>
          </w:tcPr>
          <w:p w14:paraId="33101702">
            <w:pPr>
              <w:widowControl/>
              <w:spacing w:line="240" w:lineRule="exact"/>
              <w:jc w:val="lef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6</w:t>
            </w:r>
          </w:p>
        </w:tc>
        <w:tc>
          <w:tcPr>
            <w:tcW w:w="873" w:type="dxa"/>
            <w:tcBorders>
              <w:top w:val="nil"/>
              <w:left w:val="nil"/>
              <w:bottom w:val="single" w:color="auto" w:sz="4" w:space="0"/>
              <w:right w:val="single" w:color="auto" w:sz="4" w:space="0"/>
            </w:tcBorders>
            <w:vAlign w:val="center"/>
          </w:tcPr>
          <w:p w14:paraId="0B4F6F36">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6</w:t>
            </w:r>
          </w:p>
        </w:tc>
        <w:tc>
          <w:tcPr>
            <w:tcW w:w="652" w:type="dxa"/>
            <w:tcBorders>
              <w:top w:val="nil"/>
              <w:left w:val="nil"/>
              <w:bottom w:val="single" w:color="auto" w:sz="4" w:space="0"/>
              <w:right w:val="single" w:color="auto" w:sz="4" w:space="0"/>
            </w:tcBorders>
            <w:vAlign w:val="center"/>
          </w:tcPr>
          <w:p w14:paraId="016A2909">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809FC6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1A6E49C2">
            <w:pPr>
              <w:spacing w:line="240" w:lineRule="exact"/>
              <w:jc w:val="left"/>
              <w:rPr>
                <w:rFonts w:ascii="仿宋_GB2312" w:hAnsi="仿宋_GB2312" w:eastAsia="仿宋_GB2312" w:cs="仿宋_GB2312"/>
                <w:color w:val="000000"/>
                <w:sz w:val="20"/>
                <w:szCs w:val="20"/>
              </w:rPr>
            </w:pPr>
          </w:p>
        </w:tc>
        <w:tc>
          <w:tcPr>
            <w:tcW w:w="1080" w:type="dxa"/>
            <w:vMerge w:val="continue"/>
            <w:tcBorders>
              <w:top w:val="single" w:color="auto" w:sz="4" w:space="0"/>
              <w:left w:val="nil"/>
              <w:bottom w:val="single" w:color="auto" w:sz="4" w:space="0"/>
              <w:right w:val="single" w:color="auto" w:sz="4" w:space="0"/>
            </w:tcBorders>
            <w:vAlign w:val="center"/>
          </w:tcPr>
          <w:p w14:paraId="14105B24">
            <w:pPr>
              <w:spacing w:line="240" w:lineRule="exact"/>
              <w:jc w:val="left"/>
              <w:rPr>
                <w:rFonts w:ascii="仿宋_GB2312" w:hAnsi="仿宋_GB2312" w:eastAsia="仿宋_GB2312" w:cs="仿宋_GB2312"/>
                <w:color w:val="000000"/>
                <w:sz w:val="20"/>
                <w:szCs w:val="20"/>
              </w:rPr>
            </w:pPr>
          </w:p>
        </w:tc>
        <w:tc>
          <w:tcPr>
            <w:tcW w:w="1034" w:type="dxa"/>
            <w:vMerge w:val="continue"/>
            <w:tcBorders>
              <w:top w:val="single" w:color="auto" w:sz="4" w:space="0"/>
              <w:left w:val="nil"/>
              <w:bottom w:val="single" w:color="auto" w:sz="4" w:space="0"/>
              <w:right w:val="single" w:color="auto" w:sz="4" w:space="0"/>
            </w:tcBorders>
            <w:vAlign w:val="center"/>
          </w:tcPr>
          <w:p w14:paraId="52852861">
            <w:pPr>
              <w:widowControl/>
              <w:spacing w:line="240" w:lineRule="exact"/>
              <w:jc w:val="center"/>
              <w:rPr>
                <w:rFonts w:ascii="仿宋_GB2312" w:hAnsi="仿宋_GB2312" w:eastAsia="仿宋_GB2312" w:cs="仿宋_GB2312"/>
                <w:color w:val="000000"/>
                <w:sz w:val="20"/>
                <w:szCs w:val="20"/>
              </w:rPr>
            </w:pPr>
          </w:p>
        </w:tc>
        <w:tc>
          <w:tcPr>
            <w:tcW w:w="1270" w:type="dxa"/>
            <w:tcBorders>
              <w:top w:val="single" w:color="auto" w:sz="4" w:space="0"/>
              <w:left w:val="nil"/>
              <w:bottom w:val="single" w:color="auto" w:sz="4" w:space="0"/>
              <w:right w:val="single" w:color="auto" w:sz="4" w:space="0"/>
            </w:tcBorders>
            <w:vAlign w:val="center"/>
          </w:tcPr>
          <w:p w14:paraId="596AE2D5">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对个体经营进行监管检查服务</w:t>
            </w:r>
          </w:p>
        </w:tc>
        <w:tc>
          <w:tcPr>
            <w:tcW w:w="1311" w:type="dxa"/>
            <w:tcBorders>
              <w:top w:val="nil"/>
              <w:left w:val="nil"/>
              <w:bottom w:val="single" w:color="auto" w:sz="4" w:space="0"/>
              <w:right w:val="single" w:color="auto" w:sz="4" w:space="0"/>
            </w:tcBorders>
            <w:vAlign w:val="center"/>
          </w:tcPr>
          <w:p w14:paraId="748CFE29">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1197家</w:t>
            </w:r>
          </w:p>
        </w:tc>
        <w:tc>
          <w:tcPr>
            <w:tcW w:w="1269" w:type="dxa"/>
            <w:tcBorders>
              <w:top w:val="nil"/>
              <w:left w:val="nil"/>
              <w:bottom w:val="single" w:color="auto" w:sz="4" w:space="0"/>
              <w:right w:val="single" w:color="auto" w:sz="4" w:space="0"/>
            </w:tcBorders>
            <w:vAlign w:val="center"/>
          </w:tcPr>
          <w:p w14:paraId="5FFF639A">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w:t>
            </w:r>
            <w:r>
              <w:rPr>
                <w:rFonts w:hint="eastAsia" w:ascii="仿宋_GB2312" w:hAnsi="仿宋_GB2312" w:eastAsia="仿宋_GB2312" w:cs="仿宋_GB2312"/>
                <w:color w:val="000000"/>
                <w:sz w:val="20"/>
                <w:szCs w:val="20"/>
                <w:lang w:val="en-US" w:eastAsia="zh-CN"/>
              </w:rPr>
              <w:t>238</w:t>
            </w:r>
            <w:r>
              <w:rPr>
                <w:rFonts w:hint="eastAsia" w:ascii="仿宋_GB2312" w:hAnsi="仿宋_GB2312" w:eastAsia="仿宋_GB2312" w:cs="仿宋_GB2312"/>
                <w:color w:val="000000"/>
                <w:sz w:val="20"/>
                <w:szCs w:val="20"/>
              </w:rPr>
              <w:t>家</w:t>
            </w:r>
          </w:p>
        </w:tc>
        <w:tc>
          <w:tcPr>
            <w:tcW w:w="716" w:type="dxa"/>
            <w:tcBorders>
              <w:top w:val="nil"/>
              <w:left w:val="nil"/>
              <w:bottom w:val="single" w:color="auto" w:sz="4" w:space="0"/>
              <w:right w:val="single" w:color="auto" w:sz="4" w:space="0"/>
            </w:tcBorders>
            <w:vAlign w:val="center"/>
          </w:tcPr>
          <w:p w14:paraId="639CFCC2">
            <w:pPr>
              <w:widowControl/>
              <w:spacing w:line="240" w:lineRule="exact"/>
              <w:jc w:val="lef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6</w:t>
            </w:r>
          </w:p>
        </w:tc>
        <w:tc>
          <w:tcPr>
            <w:tcW w:w="873" w:type="dxa"/>
            <w:tcBorders>
              <w:top w:val="nil"/>
              <w:left w:val="nil"/>
              <w:bottom w:val="single" w:color="auto" w:sz="4" w:space="0"/>
              <w:right w:val="single" w:color="auto" w:sz="4" w:space="0"/>
            </w:tcBorders>
            <w:vAlign w:val="center"/>
          </w:tcPr>
          <w:p w14:paraId="18999B4F">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6</w:t>
            </w:r>
          </w:p>
        </w:tc>
        <w:tc>
          <w:tcPr>
            <w:tcW w:w="652" w:type="dxa"/>
            <w:tcBorders>
              <w:top w:val="nil"/>
              <w:left w:val="nil"/>
              <w:bottom w:val="single" w:color="auto" w:sz="4" w:space="0"/>
              <w:right w:val="single" w:color="auto" w:sz="4" w:space="0"/>
            </w:tcBorders>
            <w:vAlign w:val="center"/>
          </w:tcPr>
          <w:p w14:paraId="57E7F0B4">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37839501">
        <w:tblPrEx>
          <w:tblCellMar>
            <w:top w:w="0" w:type="dxa"/>
            <w:left w:w="108" w:type="dxa"/>
            <w:bottom w:w="0" w:type="dxa"/>
            <w:right w:w="108" w:type="dxa"/>
          </w:tblCellMar>
        </w:tblPrEx>
        <w:trPr>
          <w:trHeight w:val="437" w:hRule="atLeast"/>
          <w:jc w:val="center"/>
        </w:trPr>
        <w:tc>
          <w:tcPr>
            <w:tcW w:w="1080" w:type="dxa"/>
            <w:vMerge w:val="continue"/>
            <w:tcBorders>
              <w:left w:val="single" w:color="auto" w:sz="4" w:space="0"/>
              <w:right w:val="single" w:color="auto" w:sz="4" w:space="0"/>
            </w:tcBorders>
            <w:vAlign w:val="center"/>
          </w:tcPr>
          <w:p w14:paraId="32252BE0">
            <w:pPr>
              <w:spacing w:line="240" w:lineRule="exact"/>
              <w:jc w:val="left"/>
              <w:rPr>
                <w:rFonts w:ascii="仿宋_GB2312" w:hAnsi="仿宋_GB2312" w:eastAsia="仿宋_GB2312" w:cs="仿宋_GB2312"/>
                <w:color w:val="000000"/>
                <w:sz w:val="20"/>
                <w:szCs w:val="20"/>
              </w:rPr>
            </w:pPr>
          </w:p>
        </w:tc>
        <w:tc>
          <w:tcPr>
            <w:tcW w:w="1080" w:type="dxa"/>
            <w:vMerge w:val="continue"/>
            <w:tcBorders>
              <w:top w:val="single" w:color="auto" w:sz="4" w:space="0"/>
              <w:left w:val="nil"/>
              <w:bottom w:val="single" w:color="auto" w:sz="4" w:space="0"/>
              <w:right w:val="single" w:color="auto" w:sz="4" w:space="0"/>
            </w:tcBorders>
            <w:vAlign w:val="center"/>
          </w:tcPr>
          <w:p w14:paraId="57110139">
            <w:pPr>
              <w:spacing w:line="240" w:lineRule="exact"/>
              <w:jc w:val="left"/>
              <w:rPr>
                <w:rFonts w:ascii="仿宋_GB2312" w:hAnsi="仿宋_GB2312" w:eastAsia="仿宋_GB2312" w:cs="仿宋_GB2312"/>
                <w:color w:val="000000"/>
                <w:sz w:val="20"/>
                <w:szCs w:val="20"/>
              </w:rPr>
            </w:pPr>
          </w:p>
        </w:tc>
        <w:tc>
          <w:tcPr>
            <w:tcW w:w="1034" w:type="dxa"/>
            <w:vMerge w:val="restart"/>
            <w:tcBorders>
              <w:top w:val="single" w:color="auto" w:sz="4" w:space="0"/>
              <w:left w:val="nil"/>
              <w:bottom w:val="single" w:color="auto" w:sz="4" w:space="0"/>
              <w:right w:val="single" w:color="auto" w:sz="4" w:space="0"/>
            </w:tcBorders>
            <w:vAlign w:val="center"/>
          </w:tcPr>
          <w:p w14:paraId="4268C12C">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1270" w:type="dxa"/>
            <w:tcBorders>
              <w:top w:val="single" w:color="auto" w:sz="4" w:space="0"/>
              <w:left w:val="nil"/>
              <w:bottom w:val="single" w:color="auto" w:sz="4" w:space="0"/>
              <w:right w:val="single" w:color="auto" w:sz="4" w:space="0"/>
            </w:tcBorders>
            <w:vAlign w:val="center"/>
          </w:tcPr>
          <w:p w14:paraId="47C78A2D">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监管覆盖率</w:t>
            </w:r>
          </w:p>
        </w:tc>
        <w:tc>
          <w:tcPr>
            <w:tcW w:w="1311" w:type="dxa"/>
            <w:tcBorders>
              <w:top w:val="single" w:color="auto" w:sz="4" w:space="0"/>
              <w:left w:val="nil"/>
              <w:bottom w:val="single" w:color="auto" w:sz="4" w:space="0"/>
              <w:right w:val="single" w:color="auto" w:sz="4" w:space="0"/>
            </w:tcBorders>
            <w:vAlign w:val="center"/>
          </w:tcPr>
          <w:p w14:paraId="4D0CCE58">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269" w:type="dxa"/>
            <w:tcBorders>
              <w:top w:val="single" w:color="auto" w:sz="4" w:space="0"/>
              <w:left w:val="nil"/>
              <w:bottom w:val="single" w:color="auto" w:sz="4" w:space="0"/>
              <w:right w:val="single" w:color="auto" w:sz="4" w:space="0"/>
            </w:tcBorders>
            <w:vAlign w:val="center"/>
          </w:tcPr>
          <w:p w14:paraId="7F54D251">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16" w:type="dxa"/>
            <w:tcBorders>
              <w:top w:val="single" w:color="auto" w:sz="4" w:space="0"/>
              <w:left w:val="nil"/>
              <w:bottom w:val="single" w:color="auto" w:sz="4" w:space="0"/>
              <w:right w:val="single" w:color="auto" w:sz="4" w:space="0"/>
            </w:tcBorders>
            <w:vAlign w:val="center"/>
          </w:tcPr>
          <w:p w14:paraId="74157126">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single" w:color="auto" w:sz="4" w:space="0"/>
              <w:left w:val="nil"/>
              <w:bottom w:val="single" w:color="auto" w:sz="4" w:space="0"/>
              <w:right w:val="single" w:color="auto" w:sz="4" w:space="0"/>
            </w:tcBorders>
            <w:vAlign w:val="center"/>
          </w:tcPr>
          <w:p w14:paraId="75A2A53B">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652" w:type="dxa"/>
            <w:tcBorders>
              <w:top w:val="single" w:color="auto" w:sz="4" w:space="0"/>
              <w:left w:val="nil"/>
              <w:bottom w:val="single" w:color="auto" w:sz="4" w:space="0"/>
              <w:right w:val="single" w:color="auto" w:sz="4" w:space="0"/>
            </w:tcBorders>
            <w:vAlign w:val="center"/>
          </w:tcPr>
          <w:p w14:paraId="7BA9ADF5">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D3E6CD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4DF80AB9">
            <w:pPr>
              <w:spacing w:line="240" w:lineRule="exact"/>
              <w:jc w:val="left"/>
              <w:rPr>
                <w:rFonts w:ascii="仿宋_GB2312" w:hAnsi="仿宋_GB2312" w:eastAsia="仿宋_GB2312" w:cs="仿宋_GB2312"/>
                <w:color w:val="000000"/>
                <w:sz w:val="20"/>
                <w:szCs w:val="20"/>
              </w:rPr>
            </w:pPr>
          </w:p>
        </w:tc>
        <w:tc>
          <w:tcPr>
            <w:tcW w:w="1080" w:type="dxa"/>
            <w:vMerge w:val="continue"/>
            <w:tcBorders>
              <w:top w:val="single" w:color="auto" w:sz="4" w:space="0"/>
              <w:left w:val="nil"/>
              <w:bottom w:val="single" w:color="auto" w:sz="4" w:space="0"/>
              <w:right w:val="single" w:color="auto" w:sz="4" w:space="0"/>
            </w:tcBorders>
            <w:vAlign w:val="center"/>
          </w:tcPr>
          <w:p w14:paraId="3FC0405C">
            <w:pPr>
              <w:spacing w:line="240" w:lineRule="exact"/>
              <w:jc w:val="left"/>
              <w:rPr>
                <w:rFonts w:ascii="仿宋_GB2312" w:hAnsi="仿宋_GB2312" w:eastAsia="仿宋_GB2312" w:cs="仿宋_GB2312"/>
                <w:color w:val="000000"/>
                <w:sz w:val="20"/>
                <w:szCs w:val="20"/>
              </w:rPr>
            </w:pPr>
          </w:p>
        </w:tc>
        <w:tc>
          <w:tcPr>
            <w:tcW w:w="1034" w:type="dxa"/>
            <w:vMerge w:val="continue"/>
            <w:tcBorders>
              <w:top w:val="single" w:color="auto" w:sz="4" w:space="0"/>
              <w:left w:val="nil"/>
              <w:bottom w:val="single" w:color="auto" w:sz="4" w:space="0"/>
              <w:right w:val="single" w:color="auto" w:sz="4" w:space="0"/>
            </w:tcBorders>
            <w:vAlign w:val="center"/>
          </w:tcPr>
          <w:p w14:paraId="4D71EB81">
            <w:pPr>
              <w:spacing w:line="240" w:lineRule="exact"/>
              <w:jc w:val="center"/>
              <w:rPr>
                <w:rFonts w:ascii="仿宋_GB2312" w:hAnsi="仿宋_GB2312" w:eastAsia="仿宋_GB2312" w:cs="仿宋_GB2312"/>
                <w:color w:val="000000"/>
                <w:sz w:val="20"/>
                <w:szCs w:val="20"/>
              </w:rPr>
            </w:pPr>
          </w:p>
        </w:tc>
        <w:tc>
          <w:tcPr>
            <w:tcW w:w="1270" w:type="dxa"/>
            <w:tcBorders>
              <w:top w:val="single" w:color="auto" w:sz="4" w:space="0"/>
              <w:left w:val="nil"/>
              <w:bottom w:val="single" w:color="auto" w:sz="4" w:space="0"/>
              <w:right w:val="single" w:color="auto" w:sz="4" w:space="0"/>
            </w:tcBorders>
            <w:vAlign w:val="center"/>
          </w:tcPr>
          <w:p w14:paraId="266484CA">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无重大安全事故</w:t>
            </w:r>
          </w:p>
        </w:tc>
        <w:tc>
          <w:tcPr>
            <w:tcW w:w="1311" w:type="dxa"/>
            <w:tcBorders>
              <w:top w:val="nil"/>
              <w:left w:val="nil"/>
              <w:bottom w:val="single" w:color="auto" w:sz="4" w:space="0"/>
              <w:right w:val="single" w:color="auto" w:sz="4" w:space="0"/>
            </w:tcBorders>
            <w:vAlign w:val="center"/>
          </w:tcPr>
          <w:p w14:paraId="7946F373">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0起</w:t>
            </w:r>
          </w:p>
        </w:tc>
        <w:tc>
          <w:tcPr>
            <w:tcW w:w="1269" w:type="dxa"/>
            <w:tcBorders>
              <w:top w:val="nil"/>
              <w:left w:val="nil"/>
              <w:bottom w:val="single" w:color="auto" w:sz="4" w:space="0"/>
              <w:right w:val="single" w:color="auto" w:sz="4" w:space="0"/>
            </w:tcBorders>
            <w:vAlign w:val="center"/>
          </w:tcPr>
          <w:p w14:paraId="31F67A37">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0起</w:t>
            </w:r>
          </w:p>
        </w:tc>
        <w:tc>
          <w:tcPr>
            <w:tcW w:w="716" w:type="dxa"/>
            <w:tcBorders>
              <w:top w:val="nil"/>
              <w:left w:val="nil"/>
              <w:bottom w:val="single" w:color="auto" w:sz="4" w:space="0"/>
              <w:right w:val="single" w:color="auto" w:sz="4" w:space="0"/>
            </w:tcBorders>
            <w:vAlign w:val="center"/>
          </w:tcPr>
          <w:p w14:paraId="57BB5823">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vAlign w:val="center"/>
          </w:tcPr>
          <w:p w14:paraId="49310D7B">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652" w:type="dxa"/>
            <w:tcBorders>
              <w:top w:val="nil"/>
              <w:left w:val="nil"/>
              <w:bottom w:val="single" w:color="auto" w:sz="4" w:space="0"/>
              <w:right w:val="single" w:color="auto" w:sz="4" w:space="0"/>
            </w:tcBorders>
            <w:vAlign w:val="center"/>
          </w:tcPr>
          <w:p w14:paraId="79DF0E8F">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1093AF0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5EE2A60F">
            <w:pPr>
              <w:spacing w:line="240" w:lineRule="exact"/>
              <w:jc w:val="left"/>
              <w:rPr>
                <w:rFonts w:ascii="仿宋_GB2312" w:hAnsi="仿宋_GB2312" w:eastAsia="仿宋_GB2312" w:cs="仿宋_GB2312"/>
                <w:color w:val="000000"/>
                <w:sz w:val="20"/>
                <w:szCs w:val="20"/>
              </w:rPr>
            </w:pPr>
          </w:p>
        </w:tc>
        <w:tc>
          <w:tcPr>
            <w:tcW w:w="1080" w:type="dxa"/>
            <w:vMerge w:val="continue"/>
            <w:tcBorders>
              <w:top w:val="single" w:color="auto" w:sz="4" w:space="0"/>
              <w:left w:val="nil"/>
              <w:bottom w:val="single" w:color="auto" w:sz="4" w:space="0"/>
              <w:right w:val="single" w:color="auto" w:sz="4" w:space="0"/>
            </w:tcBorders>
            <w:vAlign w:val="center"/>
          </w:tcPr>
          <w:p w14:paraId="38097693">
            <w:pPr>
              <w:spacing w:line="240" w:lineRule="exact"/>
              <w:jc w:val="left"/>
              <w:rPr>
                <w:rFonts w:ascii="仿宋_GB2312" w:hAnsi="仿宋_GB2312" w:eastAsia="仿宋_GB2312" w:cs="仿宋_GB2312"/>
                <w:color w:val="000000"/>
                <w:sz w:val="20"/>
                <w:szCs w:val="20"/>
              </w:rPr>
            </w:pPr>
          </w:p>
        </w:tc>
        <w:tc>
          <w:tcPr>
            <w:tcW w:w="1034" w:type="dxa"/>
            <w:vMerge w:val="continue"/>
            <w:tcBorders>
              <w:top w:val="single" w:color="auto" w:sz="4" w:space="0"/>
              <w:left w:val="nil"/>
              <w:bottom w:val="single" w:color="auto" w:sz="4" w:space="0"/>
              <w:right w:val="single" w:color="auto" w:sz="4" w:space="0"/>
            </w:tcBorders>
            <w:vAlign w:val="center"/>
          </w:tcPr>
          <w:p w14:paraId="5E16B92C">
            <w:pPr>
              <w:spacing w:line="240" w:lineRule="exact"/>
              <w:jc w:val="center"/>
              <w:rPr>
                <w:rFonts w:ascii="仿宋_GB2312" w:hAnsi="仿宋_GB2312" w:eastAsia="仿宋_GB2312" w:cs="仿宋_GB2312"/>
                <w:color w:val="000000"/>
                <w:sz w:val="20"/>
                <w:szCs w:val="20"/>
              </w:rPr>
            </w:pPr>
          </w:p>
        </w:tc>
        <w:tc>
          <w:tcPr>
            <w:tcW w:w="1270" w:type="dxa"/>
            <w:tcBorders>
              <w:top w:val="single" w:color="auto" w:sz="4" w:space="0"/>
              <w:left w:val="nil"/>
              <w:bottom w:val="single" w:color="auto" w:sz="4" w:space="0"/>
              <w:right w:val="single" w:color="auto" w:sz="4" w:space="0"/>
            </w:tcBorders>
            <w:vAlign w:val="center"/>
          </w:tcPr>
          <w:p w14:paraId="28CAA9AC">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无证照查处率</w:t>
            </w:r>
          </w:p>
        </w:tc>
        <w:tc>
          <w:tcPr>
            <w:tcW w:w="1311" w:type="dxa"/>
            <w:tcBorders>
              <w:top w:val="nil"/>
              <w:left w:val="nil"/>
              <w:bottom w:val="single" w:color="auto" w:sz="4" w:space="0"/>
              <w:right w:val="single" w:color="auto" w:sz="4" w:space="0"/>
            </w:tcBorders>
            <w:vAlign w:val="center"/>
          </w:tcPr>
          <w:p w14:paraId="01DBF96A">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269" w:type="dxa"/>
            <w:tcBorders>
              <w:top w:val="nil"/>
              <w:left w:val="nil"/>
              <w:bottom w:val="single" w:color="auto" w:sz="4" w:space="0"/>
              <w:right w:val="single" w:color="auto" w:sz="4" w:space="0"/>
            </w:tcBorders>
            <w:vAlign w:val="center"/>
          </w:tcPr>
          <w:p w14:paraId="6EFC076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16" w:type="dxa"/>
            <w:tcBorders>
              <w:top w:val="nil"/>
              <w:left w:val="nil"/>
              <w:bottom w:val="single" w:color="auto" w:sz="4" w:space="0"/>
              <w:right w:val="single" w:color="auto" w:sz="4" w:space="0"/>
            </w:tcBorders>
            <w:vAlign w:val="center"/>
          </w:tcPr>
          <w:p w14:paraId="55B43D6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w:t>
            </w:r>
          </w:p>
        </w:tc>
        <w:tc>
          <w:tcPr>
            <w:tcW w:w="873" w:type="dxa"/>
            <w:tcBorders>
              <w:top w:val="nil"/>
              <w:left w:val="nil"/>
              <w:bottom w:val="single" w:color="auto" w:sz="4" w:space="0"/>
              <w:right w:val="single" w:color="auto" w:sz="4" w:space="0"/>
            </w:tcBorders>
            <w:vAlign w:val="center"/>
          </w:tcPr>
          <w:p w14:paraId="7EA5750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w:t>
            </w:r>
          </w:p>
        </w:tc>
        <w:tc>
          <w:tcPr>
            <w:tcW w:w="652" w:type="dxa"/>
            <w:tcBorders>
              <w:top w:val="nil"/>
              <w:left w:val="nil"/>
              <w:bottom w:val="single" w:color="auto" w:sz="4" w:space="0"/>
              <w:right w:val="single" w:color="auto" w:sz="4" w:space="0"/>
            </w:tcBorders>
            <w:vAlign w:val="center"/>
          </w:tcPr>
          <w:p w14:paraId="2C88A0F5">
            <w:pPr>
              <w:widowControl/>
              <w:spacing w:line="240" w:lineRule="exact"/>
              <w:jc w:val="left"/>
              <w:rPr>
                <w:rFonts w:ascii="仿宋_GB2312" w:hAnsi="仿宋_GB2312" w:eastAsia="仿宋_GB2312" w:cs="仿宋_GB2312"/>
                <w:color w:val="000000"/>
                <w:sz w:val="20"/>
                <w:szCs w:val="20"/>
              </w:rPr>
            </w:pPr>
          </w:p>
        </w:tc>
      </w:tr>
      <w:tr w14:paraId="18CFD37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0CAF233F">
            <w:pPr>
              <w:spacing w:line="240" w:lineRule="exact"/>
              <w:jc w:val="left"/>
              <w:rPr>
                <w:rFonts w:ascii="仿宋_GB2312" w:hAnsi="仿宋_GB2312" w:eastAsia="仿宋_GB2312" w:cs="仿宋_GB2312"/>
                <w:color w:val="000000"/>
                <w:sz w:val="20"/>
                <w:szCs w:val="20"/>
              </w:rPr>
            </w:pPr>
          </w:p>
        </w:tc>
        <w:tc>
          <w:tcPr>
            <w:tcW w:w="1080" w:type="dxa"/>
            <w:vMerge w:val="continue"/>
            <w:tcBorders>
              <w:top w:val="single" w:color="auto" w:sz="4" w:space="0"/>
              <w:left w:val="nil"/>
              <w:bottom w:val="single" w:color="auto" w:sz="4" w:space="0"/>
              <w:right w:val="single" w:color="auto" w:sz="4" w:space="0"/>
            </w:tcBorders>
            <w:vAlign w:val="center"/>
          </w:tcPr>
          <w:p w14:paraId="35E7F118">
            <w:pPr>
              <w:spacing w:line="240" w:lineRule="exact"/>
              <w:jc w:val="left"/>
              <w:rPr>
                <w:rFonts w:ascii="仿宋_GB2312" w:hAnsi="仿宋_GB2312" w:eastAsia="仿宋_GB2312" w:cs="仿宋_GB2312"/>
                <w:color w:val="000000"/>
                <w:sz w:val="20"/>
                <w:szCs w:val="20"/>
              </w:rPr>
            </w:pPr>
          </w:p>
        </w:tc>
        <w:tc>
          <w:tcPr>
            <w:tcW w:w="1034" w:type="dxa"/>
            <w:vMerge w:val="continue"/>
            <w:tcBorders>
              <w:top w:val="single" w:color="auto" w:sz="4" w:space="0"/>
              <w:left w:val="nil"/>
              <w:bottom w:val="single" w:color="auto" w:sz="4" w:space="0"/>
              <w:right w:val="single" w:color="auto" w:sz="4" w:space="0"/>
            </w:tcBorders>
            <w:vAlign w:val="center"/>
          </w:tcPr>
          <w:p w14:paraId="1E18EAF4">
            <w:pPr>
              <w:spacing w:line="240" w:lineRule="exact"/>
              <w:jc w:val="center"/>
              <w:rPr>
                <w:rFonts w:ascii="仿宋_GB2312" w:hAnsi="仿宋_GB2312" w:eastAsia="仿宋_GB2312" w:cs="仿宋_GB2312"/>
                <w:color w:val="000000"/>
                <w:sz w:val="20"/>
                <w:szCs w:val="20"/>
              </w:rPr>
            </w:pPr>
          </w:p>
        </w:tc>
        <w:tc>
          <w:tcPr>
            <w:tcW w:w="1270" w:type="dxa"/>
            <w:tcBorders>
              <w:top w:val="single" w:color="auto" w:sz="4" w:space="0"/>
              <w:left w:val="nil"/>
              <w:bottom w:val="single" w:color="auto" w:sz="4" w:space="0"/>
              <w:right w:val="single" w:color="auto" w:sz="4" w:space="0"/>
            </w:tcBorders>
            <w:vAlign w:val="center"/>
          </w:tcPr>
          <w:p w14:paraId="3CFA6630">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不合格品查处率</w:t>
            </w:r>
          </w:p>
        </w:tc>
        <w:tc>
          <w:tcPr>
            <w:tcW w:w="1311" w:type="dxa"/>
            <w:tcBorders>
              <w:top w:val="nil"/>
              <w:left w:val="nil"/>
              <w:bottom w:val="single" w:color="auto" w:sz="4" w:space="0"/>
              <w:right w:val="single" w:color="auto" w:sz="4" w:space="0"/>
            </w:tcBorders>
            <w:vAlign w:val="center"/>
          </w:tcPr>
          <w:p w14:paraId="6D2F0737">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269" w:type="dxa"/>
            <w:tcBorders>
              <w:top w:val="nil"/>
              <w:left w:val="nil"/>
              <w:bottom w:val="single" w:color="auto" w:sz="4" w:space="0"/>
              <w:right w:val="single" w:color="auto" w:sz="4" w:space="0"/>
            </w:tcBorders>
            <w:vAlign w:val="center"/>
          </w:tcPr>
          <w:p w14:paraId="4034C9A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16" w:type="dxa"/>
            <w:tcBorders>
              <w:top w:val="nil"/>
              <w:left w:val="nil"/>
              <w:bottom w:val="single" w:color="auto" w:sz="4" w:space="0"/>
              <w:right w:val="single" w:color="auto" w:sz="4" w:space="0"/>
            </w:tcBorders>
            <w:vAlign w:val="center"/>
          </w:tcPr>
          <w:p w14:paraId="4428210C">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w:t>
            </w:r>
          </w:p>
        </w:tc>
        <w:tc>
          <w:tcPr>
            <w:tcW w:w="873" w:type="dxa"/>
            <w:tcBorders>
              <w:top w:val="nil"/>
              <w:left w:val="nil"/>
              <w:bottom w:val="single" w:color="auto" w:sz="4" w:space="0"/>
              <w:right w:val="single" w:color="auto" w:sz="4" w:space="0"/>
            </w:tcBorders>
            <w:vAlign w:val="center"/>
          </w:tcPr>
          <w:p w14:paraId="528890F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w:t>
            </w:r>
          </w:p>
        </w:tc>
        <w:tc>
          <w:tcPr>
            <w:tcW w:w="652" w:type="dxa"/>
            <w:tcBorders>
              <w:top w:val="nil"/>
              <w:left w:val="nil"/>
              <w:bottom w:val="single" w:color="auto" w:sz="4" w:space="0"/>
              <w:right w:val="single" w:color="auto" w:sz="4" w:space="0"/>
            </w:tcBorders>
            <w:vAlign w:val="center"/>
          </w:tcPr>
          <w:p w14:paraId="5C2F2CA0">
            <w:pPr>
              <w:widowControl/>
              <w:spacing w:line="240" w:lineRule="exact"/>
              <w:jc w:val="left"/>
              <w:rPr>
                <w:rFonts w:ascii="仿宋_GB2312" w:hAnsi="仿宋_GB2312" w:eastAsia="仿宋_GB2312" w:cs="仿宋_GB2312"/>
                <w:color w:val="000000"/>
                <w:sz w:val="20"/>
                <w:szCs w:val="20"/>
              </w:rPr>
            </w:pPr>
          </w:p>
        </w:tc>
      </w:tr>
      <w:tr w14:paraId="0571239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77F12252">
            <w:pPr>
              <w:spacing w:line="240" w:lineRule="exact"/>
              <w:jc w:val="left"/>
              <w:rPr>
                <w:rFonts w:ascii="仿宋_GB2312" w:hAnsi="仿宋_GB2312" w:eastAsia="仿宋_GB2312" w:cs="仿宋_GB2312"/>
                <w:color w:val="000000"/>
                <w:sz w:val="20"/>
                <w:szCs w:val="20"/>
              </w:rPr>
            </w:pPr>
          </w:p>
        </w:tc>
        <w:tc>
          <w:tcPr>
            <w:tcW w:w="1080" w:type="dxa"/>
            <w:vMerge w:val="continue"/>
            <w:tcBorders>
              <w:top w:val="single" w:color="auto" w:sz="4" w:space="0"/>
              <w:left w:val="nil"/>
              <w:bottom w:val="single" w:color="auto" w:sz="4" w:space="0"/>
              <w:right w:val="single" w:color="auto" w:sz="4" w:space="0"/>
            </w:tcBorders>
            <w:vAlign w:val="center"/>
          </w:tcPr>
          <w:p w14:paraId="78BEA1AA">
            <w:pPr>
              <w:spacing w:line="240" w:lineRule="exact"/>
              <w:jc w:val="left"/>
              <w:rPr>
                <w:rFonts w:ascii="仿宋_GB2312" w:hAnsi="仿宋_GB2312" w:eastAsia="仿宋_GB2312" w:cs="仿宋_GB2312"/>
                <w:color w:val="000000"/>
                <w:sz w:val="20"/>
                <w:szCs w:val="20"/>
              </w:rPr>
            </w:pPr>
          </w:p>
        </w:tc>
        <w:tc>
          <w:tcPr>
            <w:tcW w:w="1034" w:type="dxa"/>
            <w:vMerge w:val="continue"/>
            <w:tcBorders>
              <w:top w:val="single" w:color="auto" w:sz="4" w:space="0"/>
              <w:left w:val="nil"/>
              <w:bottom w:val="single" w:color="auto" w:sz="4" w:space="0"/>
              <w:right w:val="single" w:color="auto" w:sz="4" w:space="0"/>
            </w:tcBorders>
            <w:vAlign w:val="center"/>
          </w:tcPr>
          <w:p w14:paraId="444CFCF4">
            <w:pPr>
              <w:widowControl/>
              <w:spacing w:line="240" w:lineRule="exact"/>
              <w:jc w:val="center"/>
              <w:rPr>
                <w:rFonts w:ascii="仿宋_GB2312" w:hAnsi="仿宋_GB2312" w:eastAsia="仿宋_GB2312" w:cs="仿宋_GB2312"/>
                <w:color w:val="000000"/>
                <w:sz w:val="20"/>
                <w:szCs w:val="20"/>
              </w:rPr>
            </w:pPr>
          </w:p>
        </w:tc>
        <w:tc>
          <w:tcPr>
            <w:tcW w:w="1270" w:type="dxa"/>
            <w:tcBorders>
              <w:top w:val="single" w:color="auto" w:sz="4" w:space="0"/>
              <w:left w:val="nil"/>
              <w:bottom w:val="single" w:color="auto" w:sz="4" w:space="0"/>
              <w:right w:val="single" w:color="auto" w:sz="4" w:space="0"/>
            </w:tcBorders>
            <w:vAlign w:val="center"/>
          </w:tcPr>
          <w:p w14:paraId="589102C4">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消费申诉举报办结率</w:t>
            </w:r>
          </w:p>
        </w:tc>
        <w:tc>
          <w:tcPr>
            <w:tcW w:w="1311" w:type="dxa"/>
            <w:tcBorders>
              <w:top w:val="nil"/>
              <w:left w:val="nil"/>
              <w:bottom w:val="single" w:color="auto" w:sz="4" w:space="0"/>
              <w:right w:val="single" w:color="auto" w:sz="4" w:space="0"/>
            </w:tcBorders>
            <w:vAlign w:val="center"/>
          </w:tcPr>
          <w:p w14:paraId="4E24092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269" w:type="dxa"/>
            <w:tcBorders>
              <w:top w:val="nil"/>
              <w:left w:val="nil"/>
              <w:bottom w:val="single" w:color="auto" w:sz="4" w:space="0"/>
              <w:right w:val="single" w:color="auto" w:sz="4" w:space="0"/>
            </w:tcBorders>
            <w:vAlign w:val="center"/>
          </w:tcPr>
          <w:p w14:paraId="577FB884">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16" w:type="dxa"/>
            <w:tcBorders>
              <w:top w:val="nil"/>
              <w:left w:val="nil"/>
              <w:bottom w:val="single" w:color="auto" w:sz="4" w:space="0"/>
              <w:right w:val="single" w:color="auto" w:sz="4" w:space="0"/>
            </w:tcBorders>
            <w:vAlign w:val="center"/>
          </w:tcPr>
          <w:p w14:paraId="59D6854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w:t>
            </w:r>
          </w:p>
        </w:tc>
        <w:tc>
          <w:tcPr>
            <w:tcW w:w="873" w:type="dxa"/>
            <w:tcBorders>
              <w:top w:val="nil"/>
              <w:left w:val="nil"/>
              <w:bottom w:val="single" w:color="auto" w:sz="4" w:space="0"/>
              <w:right w:val="single" w:color="auto" w:sz="4" w:space="0"/>
            </w:tcBorders>
            <w:vAlign w:val="center"/>
          </w:tcPr>
          <w:p w14:paraId="15C2FEA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w:t>
            </w:r>
          </w:p>
        </w:tc>
        <w:tc>
          <w:tcPr>
            <w:tcW w:w="652" w:type="dxa"/>
            <w:tcBorders>
              <w:top w:val="nil"/>
              <w:left w:val="nil"/>
              <w:bottom w:val="single" w:color="auto" w:sz="4" w:space="0"/>
              <w:right w:val="single" w:color="auto" w:sz="4" w:space="0"/>
            </w:tcBorders>
            <w:vAlign w:val="center"/>
          </w:tcPr>
          <w:p w14:paraId="74AF5587">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69C38CC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606F21F5">
            <w:pPr>
              <w:spacing w:line="240" w:lineRule="exact"/>
              <w:jc w:val="left"/>
              <w:rPr>
                <w:rFonts w:ascii="仿宋_GB2312" w:hAnsi="仿宋_GB2312" w:eastAsia="仿宋_GB2312" w:cs="仿宋_GB2312"/>
                <w:color w:val="000000"/>
                <w:sz w:val="20"/>
                <w:szCs w:val="20"/>
              </w:rPr>
            </w:pPr>
          </w:p>
        </w:tc>
        <w:tc>
          <w:tcPr>
            <w:tcW w:w="1080" w:type="dxa"/>
            <w:vMerge w:val="continue"/>
            <w:tcBorders>
              <w:top w:val="single" w:color="auto" w:sz="4" w:space="0"/>
              <w:left w:val="nil"/>
              <w:bottom w:val="single" w:color="auto" w:sz="4" w:space="0"/>
              <w:right w:val="single" w:color="auto" w:sz="4" w:space="0"/>
            </w:tcBorders>
            <w:vAlign w:val="center"/>
          </w:tcPr>
          <w:p w14:paraId="2276A67F">
            <w:pPr>
              <w:spacing w:line="240" w:lineRule="exact"/>
              <w:jc w:val="left"/>
              <w:rPr>
                <w:rFonts w:ascii="仿宋_GB2312" w:hAnsi="仿宋_GB2312" w:eastAsia="仿宋_GB2312" w:cs="仿宋_GB2312"/>
                <w:color w:val="000000"/>
                <w:sz w:val="20"/>
                <w:szCs w:val="20"/>
              </w:rPr>
            </w:pPr>
          </w:p>
        </w:tc>
        <w:tc>
          <w:tcPr>
            <w:tcW w:w="1034" w:type="dxa"/>
            <w:tcBorders>
              <w:top w:val="single" w:color="auto" w:sz="4" w:space="0"/>
              <w:left w:val="nil"/>
              <w:bottom w:val="single" w:color="auto" w:sz="4" w:space="0"/>
              <w:right w:val="single" w:color="auto" w:sz="4" w:space="0"/>
            </w:tcBorders>
            <w:vAlign w:val="center"/>
          </w:tcPr>
          <w:p w14:paraId="3CDE1E9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1270" w:type="dxa"/>
            <w:tcBorders>
              <w:top w:val="single" w:color="auto" w:sz="4" w:space="0"/>
              <w:left w:val="nil"/>
              <w:bottom w:val="single" w:color="auto" w:sz="4" w:space="0"/>
              <w:right w:val="single" w:color="auto" w:sz="4" w:space="0"/>
            </w:tcBorders>
            <w:vAlign w:val="center"/>
          </w:tcPr>
          <w:p w14:paraId="3048797F">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安全监管完成时间</w:t>
            </w:r>
          </w:p>
        </w:tc>
        <w:tc>
          <w:tcPr>
            <w:tcW w:w="1311" w:type="dxa"/>
            <w:tcBorders>
              <w:top w:val="nil"/>
              <w:left w:val="nil"/>
              <w:bottom w:val="single" w:color="auto" w:sz="4" w:space="0"/>
              <w:right w:val="single" w:color="auto" w:sz="4" w:space="0"/>
            </w:tcBorders>
            <w:vAlign w:val="center"/>
          </w:tcPr>
          <w:p w14:paraId="6769D387">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本年度内</w:t>
            </w:r>
          </w:p>
        </w:tc>
        <w:tc>
          <w:tcPr>
            <w:tcW w:w="1269" w:type="dxa"/>
            <w:tcBorders>
              <w:top w:val="nil"/>
              <w:left w:val="nil"/>
              <w:bottom w:val="single" w:color="auto" w:sz="4" w:space="0"/>
              <w:right w:val="single" w:color="auto" w:sz="4" w:space="0"/>
            </w:tcBorders>
            <w:vAlign w:val="center"/>
          </w:tcPr>
          <w:p w14:paraId="61E4CC70">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本年度内</w:t>
            </w:r>
          </w:p>
        </w:tc>
        <w:tc>
          <w:tcPr>
            <w:tcW w:w="716" w:type="dxa"/>
            <w:tcBorders>
              <w:top w:val="nil"/>
              <w:left w:val="nil"/>
              <w:bottom w:val="single" w:color="auto" w:sz="4" w:space="0"/>
              <w:right w:val="single" w:color="auto" w:sz="4" w:space="0"/>
            </w:tcBorders>
            <w:vAlign w:val="center"/>
          </w:tcPr>
          <w:p w14:paraId="2183E23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vAlign w:val="center"/>
          </w:tcPr>
          <w:p w14:paraId="5B895528">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652" w:type="dxa"/>
            <w:tcBorders>
              <w:top w:val="nil"/>
              <w:left w:val="nil"/>
              <w:bottom w:val="single" w:color="auto" w:sz="4" w:space="0"/>
              <w:right w:val="single" w:color="auto" w:sz="4" w:space="0"/>
            </w:tcBorders>
            <w:vAlign w:val="center"/>
          </w:tcPr>
          <w:p w14:paraId="3E94B3D3">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2F27B99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0DFB9F8F">
            <w:pPr>
              <w:spacing w:line="240" w:lineRule="exact"/>
              <w:jc w:val="left"/>
              <w:rPr>
                <w:rFonts w:ascii="仿宋_GB2312" w:hAnsi="仿宋_GB2312" w:eastAsia="仿宋_GB2312" w:cs="仿宋_GB2312"/>
                <w:color w:val="000000"/>
                <w:sz w:val="20"/>
                <w:szCs w:val="20"/>
              </w:rPr>
            </w:pPr>
          </w:p>
        </w:tc>
        <w:tc>
          <w:tcPr>
            <w:tcW w:w="1080" w:type="dxa"/>
            <w:vMerge w:val="continue"/>
            <w:tcBorders>
              <w:top w:val="single" w:color="auto" w:sz="4" w:space="0"/>
              <w:left w:val="nil"/>
              <w:bottom w:val="single" w:color="auto" w:sz="4" w:space="0"/>
              <w:right w:val="single" w:color="auto" w:sz="4" w:space="0"/>
            </w:tcBorders>
            <w:vAlign w:val="center"/>
          </w:tcPr>
          <w:p w14:paraId="0924E374">
            <w:pPr>
              <w:spacing w:line="240" w:lineRule="exact"/>
              <w:jc w:val="left"/>
              <w:rPr>
                <w:rFonts w:ascii="仿宋_GB2312" w:hAnsi="仿宋_GB2312" w:eastAsia="仿宋_GB2312" w:cs="仿宋_GB2312"/>
                <w:color w:val="000000"/>
                <w:sz w:val="20"/>
                <w:szCs w:val="20"/>
              </w:rPr>
            </w:pPr>
          </w:p>
        </w:tc>
        <w:tc>
          <w:tcPr>
            <w:tcW w:w="1034" w:type="dxa"/>
            <w:tcBorders>
              <w:top w:val="single" w:color="auto" w:sz="4" w:space="0"/>
              <w:left w:val="nil"/>
              <w:bottom w:val="single" w:color="auto" w:sz="4" w:space="0"/>
              <w:right w:val="single" w:color="auto" w:sz="4" w:space="0"/>
            </w:tcBorders>
            <w:vAlign w:val="center"/>
          </w:tcPr>
          <w:p w14:paraId="67369CF3">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1270" w:type="dxa"/>
            <w:tcBorders>
              <w:top w:val="single" w:color="auto" w:sz="4" w:space="0"/>
              <w:left w:val="nil"/>
              <w:bottom w:val="single" w:color="auto" w:sz="4" w:space="0"/>
              <w:right w:val="single" w:color="auto" w:sz="4" w:space="0"/>
            </w:tcBorders>
            <w:vAlign w:val="center"/>
          </w:tcPr>
          <w:p w14:paraId="352FFEE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控制在预算内</w:t>
            </w:r>
          </w:p>
        </w:tc>
        <w:tc>
          <w:tcPr>
            <w:tcW w:w="1311" w:type="dxa"/>
            <w:tcBorders>
              <w:top w:val="nil"/>
              <w:left w:val="nil"/>
              <w:bottom w:val="single" w:color="auto" w:sz="4" w:space="0"/>
              <w:right w:val="single" w:color="auto" w:sz="4" w:space="0"/>
            </w:tcBorders>
            <w:vAlign w:val="center"/>
          </w:tcPr>
          <w:p w14:paraId="0D51C719">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不超预算完成工作任务</w:t>
            </w:r>
          </w:p>
        </w:tc>
        <w:tc>
          <w:tcPr>
            <w:tcW w:w="1269" w:type="dxa"/>
            <w:tcBorders>
              <w:top w:val="nil"/>
              <w:left w:val="nil"/>
              <w:bottom w:val="single" w:color="auto" w:sz="4" w:space="0"/>
              <w:right w:val="single" w:color="auto" w:sz="4" w:space="0"/>
            </w:tcBorders>
            <w:vAlign w:val="center"/>
          </w:tcPr>
          <w:p w14:paraId="154FB6E4">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不超预算完成工作任务</w:t>
            </w:r>
          </w:p>
        </w:tc>
        <w:tc>
          <w:tcPr>
            <w:tcW w:w="716" w:type="dxa"/>
            <w:tcBorders>
              <w:top w:val="nil"/>
              <w:left w:val="nil"/>
              <w:bottom w:val="single" w:color="auto" w:sz="4" w:space="0"/>
              <w:right w:val="single" w:color="auto" w:sz="4" w:space="0"/>
            </w:tcBorders>
            <w:vAlign w:val="center"/>
          </w:tcPr>
          <w:p w14:paraId="2E28142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vAlign w:val="center"/>
          </w:tcPr>
          <w:p w14:paraId="529924E2">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652" w:type="dxa"/>
            <w:tcBorders>
              <w:top w:val="nil"/>
              <w:left w:val="nil"/>
              <w:bottom w:val="single" w:color="auto" w:sz="4" w:space="0"/>
              <w:right w:val="single" w:color="auto" w:sz="4" w:space="0"/>
            </w:tcBorders>
            <w:vAlign w:val="center"/>
          </w:tcPr>
          <w:p w14:paraId="5828C559">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43BBD0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220833B8">
            <w:pPr>
              <w:spacing w:line="240" w:lineRule="exact"/>
              <w:jc w:val="left"/>
              <w:rPr>
                <w:rFonts w:ascii="仿宋_GB2312" w:hAnsi="仿宋_GB2312" w:eastAsia="仿宋_GB2312" w:cs="仿宋_GB2312"/>
                <w:color w:val="000000"/>
                <w:sz w:val="20"/>
                <w:szCs w:val="20"/>
              </w:rPr>
            </w:pPr>
          </w:p>
        </w:tc>
        <w:tc>
          <w:tcPr>
            <w:tcW w:w="1080" w:type="dxa"/>
            <w:vMerge w:val="restart"/>
            <w:tcBorders>
              <w:top w:val="single" w:color="auto" w:sz="4" w:space="0"/>
              <w:left w:val="nil"/>
              <w:bottom w:val="single" w:color="auto" w:sz="4" w:space="0"/>
              <w:right w:val="single" w:color="auto" w:sz="4" w:space="0"/>
            </w:tcBorders>
            <w:vAlign w:val="center"/>
          </w:tcPr>
          <w:p w14:paraId="2FB4ED77">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14:paraId="4B06BCFB">
            <w:pPr>
              <w:widowControl/>
              <w:spacing w:line="240" w:lineRule="exact"/>
              <w:jc w:val="left"/>
              <w:rPr>
                <w:rFonts w:ascii="仿宋_GB2312" w:hAnsi="仿宋_GB2312" w:eastAsia="仿宋_GB2312" w:cs="仿宋_GB2312"/>
                <w:color w:val="000000"/>
                <w:sz w:val="20"/>
                <w:szCs w:val="20"/>
              </w:rPr>
            </w:pPr>
          </w:p>
          <w:p w14:paraId="5C8CBF5A">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14:paraId="1E95B531">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34" w:type="dxa"/>
            <w:tcBorders>
              <w:top w:val="single" w:color="auto" w:sz="4" w:space="0"/>
              <w:left w:val="nil"/>
              <w:bottom w:val="single" w:color="auto" w:sz="4" w:space="0"/>
              <w:right w:val="single" w:color="auto" w:sz="4" w:space="0"/>
            </w:tcBorders>
            <w:vAlign w:val="center"/>
          </w:tcPr>
          <w:p w14:paraId="7054D5F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14:paraId="01A060C9">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single" w:color="auto" w:sz="4" w:space="0"/>
              <w:left w:val="nil"/>
              <w:bottom w:val="single" w:color="auto" w:sz="4" w:space="0"/>
              <w:right w:val="single" w:color="auto" w:sz="4" w:space="0"/>
            </w:tcBorders>
            <w:vAlign w:val="center"/>
          </w:tcPr>
          <w:p w14:paraId="00ADB79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促进市场经济发展</w:t>
            </w:r>
          </w:p>
        </w:tc>
        <w:tc>
          <w:tcPr>
            <w:tcW w:w="1311" w:type="dxa"/>
            <w:tcBorders>
              <w:top w:val="nil"/>
              <w:left w:val="nil"/>
              <w:bottom w:val="single" w:color="auto" w:sz="4" w:space="0"/>
              <w:right w:val="single" w:color="auto" w:sz="4" w:space="0"/>
            </w:tcBorders>
            <w:vAlign w:val="center"/>
          </w:tcPr>
          <w:p w14:paraId="2368FB0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逐步提高</w:t>
            </w:r>
          </w:p>
        </w:tc>
        <w:tc>
          <w:tcPr>
            <w:tcW w:w="1269" w:type="dxa"/>
            <w:tcBorders>
              <w:top w:val="nil"/>
              <w:left w:val="nil"/>
              <w:bottom w:val="single" w:color="auto" w:sz="4" w:space="0"/>
              <w:right w:val="single" w:color="auto" w:sz="4" w:space="0"/>
            </w:tcBorders>
            <w:vAlign w:val="center"/>
          </w:tcPr>
          <w:p w14:paraId="0D72A1A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逐步提高</w:t>
            </w:r>
          </w:p>
        </w:tc>
        <w:tc>
          <w:tcPr>
            <w:tcW w:w="716" w:type="dxa"/>
            <w:tcBorders>
              <w:top w:val="nil"/>
              <w:left w:val="nil"/>
              <w:bottom w:val="single" w:color="auto" w:sz="4" w:space="0"/>
              <w:right w:val="single" w:color="auto" w:sz="4" w:space="0"/>
            </w:tcBorders>
            <w:vAlign w:val="center"/>
          </w:tcPr>
          <w:p w14:paraId="01B0630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vAlign w:val="center"/>
          </w:tcPr>
          <w:p w14:paraId="66D35C64">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4</w:t>
            </w:r>
          </w:p>
        </w:tc>
        <w:tc>
          <w:tcPr>
            <w:tcW w:w="652" w:type="dxa"/>
            <w:tcBorders>
              <w:top w:val="nil"/>
              <w:left w:val="nil"/>
              <w:bottom w:val="single" w:color="auto" w:sz="4" w:space="0"/>
              <w:right w:val="single" w:color="auto" w:sz="4" w:space="0"/>
            </w:tcBorders>
            <w:vAlign w:val="center"/>
          </w:tcPr>
          <w:p w14:paraId="558C58E9">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59FE7E4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02CED1D1">
            <w:pPr>
              <w:spacing w:line="240" w:lineRule="exact"/>
              <w:jc w:val="left"/>
              <w:rPr>
                <w:rFonts w:ascii="仿宋_GB2312" w:hAnsi="仿宋_GB2312" w:eastAsia="仿宋_GB2312" w:cs="仿宋_GB2312"/>
                <w:color w:val="000000"/>
                <w:sz w:val="20"/>
                <w:szCs w:val="20"/>
              </w:rPr>
            </w:pPr>
          </w:p>
        </w:tc>
        <w:tc>
          <w:tcPr>
            <w:tcW w:w="1080" w:type="dxa"/>
            <w:vMerge w:val="continue"/>
            <w:tcBorders>
              <w:top w:val="single" w:color="auto" w:sz="4" w:space="0"/>
              <w:left w:val="nil"/>
              <w:right w:val="single" w:color="auto" w:sz="4" w:space="0"/>
            </w:tcBorders>
            <w:vAlign w:val="center"/>
          </w:tcPr>
          <w:p w14:paraId="5353FB78">
            <w:pPr>
              <w:spacing w:line="240" w:lineRule="exact"/>
              <w:jc w:val="left"/>
              <w:rPr>
                <w:rFonts w:ascii="仿宋_GB2312" w:hAnsi="仿宋_GB2312" w:eastAsia="仿宋_GB2312" w:cs="仿宋_GB2312"/>
                <w:color w:val="000000"/>
                <w:sz w:val="20"/>
                <w:szCs w:val="20"/>
              </w:rPr>
            </w:pPr>
          </w:p>
        </w:tc>
        <w:tc>
          <w:tcPr>
            <w:tcW w:w="1034" w:type="dxa"/>
            <w:vMerge w:val="restart"/>
            <w:tcBorders>
              <w:top w:val="single" w:color="auto" w:sz="4" w:space="0"/>
              <w:left w:val="nil"/>
              <w:bottom w:val="single" w:color="auto" w:sz="4" w:space="0"/>
              <w:right w:val="single" w:color="auto" w:sz="4" w:space="0"/>
            </w:tcBorders>
            <w:vAlign w:val="center"/>
          </w:tcPr>
          <w:p w14:paraId="57E2FB7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14:paraId="39D50E8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single" w:color="auto" w:sz="4" w:space="0"/>
              <w:left w:val="nil"/>
              <w:bottom w:val="single" w:color="auto" w:sz="4" w:space="0"/>
              <w:right w:val="single" w:color="auto" w:sz="4" w:space="0"/>
            </w:tcBorders>
            <w:vAlign w:val="center"/>
          </w:tcPr>
          <w:p w14:paraId="3D9AD07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提高公众安全知识素养</w:t>
            </w:r>
          </w:p>
        </w:tc>
        <w:tc>
          <w:tcPr>
            <w:tcW w:w="1311" w:type="dxa"/>
            <w:tcBorders>
              <w:top w:val="nil"/>
              <w:left w:val="nil"/>
              <w:bottom w:val="single" w:color="auto" w:sz="4" w:space="0"/>
              <w:right w:val="single" w:color="auto" w:sz="4" w:space="0"/>
            </w:tcBorders>
            <w:vAlign w:val="center"/>
          </w:tcPr>
          <w:p w14:paraId="773B6DD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逐步提高</w:t>
            </w:r>
          </w:p>
        </w:tc>
        <w:tc>
          <w:tcPr>
            <w:tcW w:w="1269" w:type="dxa"/>
            <w:tcBorders>
              <w:top w:val="nil"/>
              <w:left w:val="nil"/>
              <w:bottom w:val="single" w:color="auto" w:sz="4" w:space="0"/>
              <w:right w:val="single" w:color="auto" w:sz="4" w:space="0"/>
            </w:tcBorders>
            <w:vAlign w:val="center"/>
          </w:tcPr>
          <w:p w14:paraId="3DF2D04A">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逐步提高</w:t>
            </w:r>
          </w:p>
        </w:tc>
        <w:tc>
          <w:tcPr>
            <w:tcW w:w="716" w:type="dxa"/>
            <w:tcBorders>
              <w:top w:val="nil"/>
              <w:left w:val="nil"/>
              <w:bottom w:val="single" w:color="auto" w:sz="4" w:space="0"/>
              <w:right w:val="single" w:color="auto" w:sz="4" w:space="0"/>
            </w:tcBorders>
            <w:vAlign w:val="center"/>
          </w:tcPr>
          <w:p w14:paraId="272D7D6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vAlign w:val="center"/>
          </w:tcPr>
          <w:p w14:paraId="17319092">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4</w:t>
            </w:r>
          </w:p>
        </w:tc>
        <w:tc>
          <w:tcPr>
            <w:tcW w:w="652" w:type="dxa"/>
            <w:tcBorders>
              <w:top w:val="nil"/>
              <w:left w:val="nil"/>
              <w:bottom w:val="single" w:color="auto" w:sz="4" w:space="0"/>
              <w:right w:val="single" w:color="auto" w:sz="4" w:space="0"/>
            </w:tcBorders>
            <w:vAlign w:val="center"/>
          </w:tcPr>
          <w:p w14:paraId="6383FFF0">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22A532F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133FD080">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14:paraId="122E7C65">
            <w:pPr>
              <w:spacing w:line="240" w:lineRule="exact"/>
              <w:jc w:val="left"/>
              <w:rPr>
                <w:rFonts w:ascii="仿宋_GB2312" w:hAnsi="仿宋_GB2312" w:eastAsia="仿宋_GB2312" w:cs="仿宋_GB2312"/>
                <w:color w:val="000000"/>
                <w:sz w:val="20"/>
                <w:szCs w:val="20"/>
              </w:rPr>
            </w:pPr>
          </w:p>
        </w:tc>
        <w:tc>
          <w:tcPr>
            <w:tcW w:w="1034" w:type="dxa"/>
            <w:vMerge w:val="continue"/>
            <w:tcBorders>
              <w:top w:val="single" w:color="auto" w:sz="4" w:space="0"/>
              <w:left w:val="nil"/>
              <w:bottom w:val="single" w:color="auto" w:sz="4" w:space="0"/>
              <w:right w:val="single" w:color="auto" w:sz="4" w:space="0"/>
            </w:tcBorders>
            <w:vAlign w:val="center"/>
          </w:tcPr>
          <w:p w14:paraId="1C66E385">
            <w:pPr>
              <w:spacing w:line="240" w:lineRule="exact"/>
              <w:jc w:val="center"/>
              <w:rPr>
                <w:rFonts w:ascii="仿宋_GB2312" w:hAnsi="仿宋_GB2312" w:eastAsia="仿宋_GB2312" w:cs="仿宋_GB2312"/>
                <w:color w:val="000000"/>
                <w:sz w:val="20"/>
                <w:szCs w:val="20"/>
              </w:rPr>
            </w:pPr>
          </w:p>
        </w:tc>
        <w:tc>
          <w:tcPr>
            <w:tcW w:w="1270" w:type="dxa"/>
            <w:tcBorders>
              <w:top w:val="single" w:color="auto" w:sz="4" w:space="0"/>
              <w:left w:val="nil"/>
              <w:bottom w:val="single" w:color="auto" w:sz="4" w:space="0"/>
              <w:right w:val="single" w:color="auto" w:sz="4" w:space="0"/>
            </w:tcBorders>
            <w:vAlign w:val="center"/>
          </w:tcPr>
          <w:p w14:paraId="32331AF7">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提高公众安全科普知识</w:t>
            </w:r>
          </w:p>
        </w:tc>
        <w:tc>
          <w:tcPr>
            <w:tcW w:w="1311" w:type="dxa"/>
            <w:tcBorders>
              <w:top w:val="nil"/>
              <w:left w:val="nil"/>
              <w:bottom w:val="single" w:color="auto" w:sz="4" w:space="0"/>
              <w:right w:val="single" w:color="auto" w:sz="4" w:space="0"/>
            </w:tcBorders>
            <w:vAlign w:val="center"/>
          </w:tcPr>
          <w:p w14:paraId="6D9E51AA">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逐步提高</w:t>
            </w:r>
          </w:p>
        </w:tc>
        <w:tc>
          <w:tcPr>
            <w:tcW w:w="1269" w:type="dxa"/>
            <w:tcBorders>
              <w:top w:val="nil"/>
              <w:left w:val="nil"/>
              <w:bottom w:val="single" w:color="auto" w:sz="4" w:space="0"/>
              <w:right w:val="single" w:color="auto" w:sz="4" w:space="0"/>
            </w:tcBorders>
            <w:vAlign w:val="center"/>
          </w:tcPr>
          <w:p w14:paraId="6DAFE216">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逐步提高</w:t>
            </w:r>
          </w:p>
        </w:tc>
        <w:tc>
          <w:tcPr>
            <w:tcW w:w="716" w:type="dxa"/>
            <w:tcBorders>
              <w:top w:val="nil"/>
              <w:left w:val="nil"/>
              <w:bottom w:val="single" w:color="auto" w:sz="4" w:space="0"/>
              <w:right w:val="single" w:color="auto" w:sz="4" w:space="0"/>
            </w:tcBorders>
            <w:vAlign w:val="center"/>
          </w:tcPr>
          <w:p w14:paraId="0F816599">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vAlign w:val="center"/>
          </w:tcPr>
          <w:p w14:paraId="72235EF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652" w:type="dxa"/>
            <w:tcBorders>
              <w:top w:val="nil"/>
              <w:left w:val="nil"/>
              <w:bottom w:val="single" w:color="auto" w:sz="4" w:space="0"/>
              <w:right w:val="single" w:color="auto" w:sz="4" w:space="0"/>
            </w:tcBorders>
            <w:vAlign w:val="center"/>
          </w:tcPr>
          <w:p w14:paraId="51FE44E0">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41B840F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36A23083">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14:paraId="072BDD32">
            <w:pPr>
              <w:spacing w:line="240" w:lineRule="exact"/>
              <w:jc w:val="left"/>
              <w:rPr>
                <w:rFonts w:ascii="仿宋_GB2312" w:hAnsi="仿宋_GB2312" w:eastAsia="仿宋_GB2312" w:cs="仿宋_GB2312"/>
                <w:color w:val="000000"/>
                <w:sz w:val="20"/>
                <w:szCs w:val="20"/>
              </w:rPr>
            </w:pPr>
          </w:p>
        </w:tc>
        <w:tc>
          <w:tcPr>
            <w:tcW w:w="1034" w:type="dxa"/>
            <w:tcBorders>
              <w:top w:val="single" w:color="auto" w:sz="4" w:space="0"/>
              <w:left w:val="nil"/>
              <w:bottom w:val="single" w:color="auto" w:sz="4" w:space="0"/>
              <w:right w:val="single" w:color="auto" w:sz="4" w:space="0"/>
            </w:tcBorders>
            <w:vAlign w:val="center"/>
          </w:tcPr>
          <w:p w14:paraId="38D1853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14:paraId="58F00504">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single" w:color="auto" w:sz="4" w:space="0"/>
              <w:left w:val="nil"/>
              <w:bottom w:val="single" w:color="auto" w:sz="4" w:space="0"/>
              <w:right w:val="single" w:color="auto" w:sz="4" w:space="0"/>
            </w:tcBorders>
            <w:vAlign w:val="center"/>
          </w:tcPr>
          <w:p w14:paraId="0AFD3E3A">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对生态环境造成的影响</w:t>
            </w:r>
          </w:p>
        </w:tc>
        <w:tc>
          <w:tcPr>
            <w:tcW w:w="1311" w:type="dxa"/>
            <w:tcBorders>
              <w:top w:val="nil"/>
              <w:left w:val="nil"/>
              <w:bottom w:val="single" w:color="auto" w:sz="4" w:space="0"/>
              <w:right w:val="single" w:color="auto" w:sz="4" w:space="0"/>
            </w:tcBorders>
            <w:vAlign w:val="center"/>
          </w:tcPr>
          <w:p w14:paraId="3048ED6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无负面影响</w:t>
            </w:r>
          </w:p>
        </w:tc>
        <w:tc>
          <w:tcPr>
            <w:tcW w:w="1269" w:type="dxa"/>
            <w:tcBorders>
              <w:top w:val="nil"/>
              <w:left w:val="nil"/>
              <w:bottom w:val="single" w:color="auto" w:sz="4" w:space="0"/>
              <w:right w:val="single" w:color="auto" w:sz="4" w:space="0"/>
            </w:tcBorders>
            <w:vAlign w:val="center"/>
          </w:tcPr>
          <w:p w14:paraId="78C8099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无负面影响</w:t>
            </w:r>
          </w:p>
        </w:tc>
        <w:tc>
          <w:tcPr>
            <w:tcW w:w="716" w:type="dxa"/>
            <w:tcBorders>
              <w:top w:val="nil"/>
              <w:left w:val="nil"/>
              <w:bottom w:val="single" w:color="auto" w:sz="4" w:space="0"/>
              <w:right w:val="single" w:color="auto" w:sz="4" w:space="0"/>
            </w:tcBorders>
            <w:vAlign w:val="center"/>
          </w:tcPr>
          <w:p w14:paraId="2D25C8A4">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vAlign w:val="center"/>
          </w:tcPr>
          <w:p w14:paraId="1D8F181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652" w:type="dxa"/>
            <w:tcBorders>
              <w:top w:val="nil"/>
              <w:left w:val="nil"/>
              <w:bottom w:val="single" w:color="auto" w:sz="4" w:space="0"/>
              <w:right w:val="single" w:color="auto" w:sz="4" w:space="0"/>
            </w:tcBorders>
            <w:vAlign w:val="center"/>
          </w:tcPr>
          <w:p w14:paraId="159CF6E4">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41347F15">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vAlign w:val="center"/>
          </w:tcPr>
          <w:p w14:paraId="54A085FD">
            <w:pPr>
              <w:widowControl/>
              <w:spacing w:line="240" w:lineRule="exact"/>
              <w:jc w:val="center"/>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14:paraId="2D412157">
            <w:pPr>
              <w:widowControl/>
              <w:spacing w:line="240" w:lineRule="exact"/>
              <w:jc w:val="left"/>
              <w:rPr>
                <w:rFonts w:ascii="仿宋_GB2312" w:hAnsi="仿宋_GB2312" w:eastAsia="仿宋_GB2312" w:cs="仿宋_GB2312"/>
                <w:color w:val="000000"/>
                <w:sz w:val="20"/>
                <w:szCs w:val="20"/>
              </w:rPr>
            </w:pPr>
          </w:p>
        </w:tc>
        <w:tc>
          <w:tcPr>
            <w:tcW w:w="1034" w:type="dxa"/>
            <w:vMerge w:val="restart"/>
            <w:tcBorders>
              <w:top w:val="single" w:color="auto" w:sz="4" w:space="0"/>
              <w:left w:val="single" w:color="auto" w:sz="4" w:space="0"/>
              <w:bottom w:val="single" w:color="auto" w:sz="4" w:space="0"/>
              <w:right w:val="single" w:color="auto" w:sz="4" w:space="0"/>
            </w:tcBorders>
            <w:vAlign w:val="center"/>
          </w:tcPr>
          <w:p w14:paraId="36A8C5B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可持续影响指标</w:t>
            </w:r>
          </w:p>
        </w:tc>
        <w:tc>
          <w:tcPr>
            <w:tcW w:w="1270" w:type="dxa"/>
            <w:tcBorders>
              <w:top w:val="single" w:color="auto" w:sz="4" w:space="0"/>
              <w:left w:val="single" w:color="auto" w:sz="4" w:space="0"/>
              <w:bottom w:val="single" w:color="auto" w:sz="4" w:space="0"/>
              <w:right w:val="single" w:color="auto" w:sz="4" w:space="0"/>
            </w:tcBorders>
            <w:vAlign w:val="center"/>
          </w:tcPr>
          <w:p w14:paraId="03B5154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对企业发展的有效促进</w:t>
            </w:r>
          </w:p>
        </w:tc>
        <w:tc>
          <w:tcPr>
            <w:tcW w:w="1311" w:type="dxa"/>
            <w:tcBorders>
              <w:top w:val="single" w:color="auto" w:sz="4" w:space="0"/>
              <w:left w:val="single" w:color="auto" w:sz="4" w:space="0"/>
              <w:bottom w:val="single" w:color="auto" w:sz="4" w:space="0"/>
              <w:right w:val="single" w:color="auto" w:sz="4" w:space="0"/>
            </w:tcBorders>
            <w:vAlign w:val="center"/>
          </w:tcPr>
          <w:p w14:paraId="54FD456A">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持续提升</w:t>
            </w:r>
          </w:p>
        </w:tc>
        <w:tc>
          <w:tcPr>
            <w:tcW w:w="1269" w:type="dxa"/>
            <w:tcBorders>
              <w:top w:val="single" w:color="auto" w:sz="4" w:space="0"/>
              <w:left w:val="single" w:color="auto" w:sz="4" w:space="0"/>
              <w:bottom w:val="single" w:color="auto" w:sz="4" w:space="0"/>
              <w:right w:val="single" w:color="auto" w:sz="4" w:space="0"/>
            </w:tcBorders>
            <w:vAlign w:val="center"/>
          </w:tcPr>
          <w:p w14:paraId="135CD57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持续提升</w:t>
            </w:r>
          </w:p>
        </w:tc>
        <w:tc>
          <w:tcPr>
            <w:tcW w:w="716" w:type="dxa"/>
            <w:tcBorders>
              <w:top w:val="single" w:color="auto" w:sz="4" w:space="0"/>
              <w:left w:val="single" w:color="auto" w:sz="4" w:space="0"/>
              <w:bottom w:val="single" w:color="auto" w:sz="4" w:space="0"/>
              <w:right w:val="single" w:color="auto" w:sz="4" w:space="0"/>
            </w:tcBorders>
            <w:vAlign w:val="center"/>
          </w:tcPr>
          <w:p w14:paraId="6B751309">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single" w:color="auto" w:sz="4" w:space="0"/>
              <w:left w:val="single" w:color="auto" w:sz="4" w:space="0"/>
              <w:bottom w:val="single" w:color="auto" w:sz="4" w:space="0"/>
              <w:right w:val="single" w:color="auto" w:sz="4" w:space="0"/>
            </w:tcBorders>
            <w:vAlign w:val="center"/>
          </w:tcPr>
          <w:p w14:paraId="056828F3">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652" w:type="dxa"/>
            <w:tcBorders>
              <w:top w:val="single" w:color="auto" w:sz="4" w:space="0"/>
              <w:left w:val="single" w:color="auto" w:sz="4" w:space="0"/>
              <w:bottom w:val="single" w:color="auto" w:sz="4" w:space="0"/>
              <w:right w:val="single" w:color="auto" w:sz="4" w:space="0"/>
            </w:tcBorders>
            <w:vAlign w:val="center"/>
          </w:tcPr>
          <w:p w14:paraId="07F79C51">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544A11C0">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right w:val="single" w:color="auto" w:sz="4" w:space="0"/>
            </w:tcBorders>
            <w:vAlign w:val="center"/>
          </w:tcPr>
          <w:p w14:paraId="15FC1030">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14:paraId="0205C6D3">
            <w:pPr>
              <w:spacing w:line="240" w:lineRule="exact"/>
              <w:jc w:val="left"/>
              <w:rPr>
                <w:rFonts w:ascii="仿宋_GB2312" w:hAnsi="仿宋_GB2312" w:eastAsia="仿宋_GB2312" w:cs="仿宋_GB2312"/>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vAlign w:val="center"/>
          </w:tcPr>
          <w:p w14:paraId="32A947C6">
            <w:pPr>
              <w:spacing w:line="240" w:lineRule="exact"/>
              <w:jc w:val="left"/>
              <w:rPr>
                <w:rFonts w:ascii="仿宋_GB2312" w:hAnsi="仿宋_GB2312" w:eastAsia="仿宋_GB2312" w:cs="仿宋_GB2312"/>
                <w:color w:val="000000"/>
                <w:sz w:val="20"/>
                <w:szCs w:val="20"/>
              </w:rPr>
            </w:pPr>
          </w:p>
        </w:tc>
        <w:tc>
          <w:tcPr>
            <w:tcW w:w="1270" w:type="dxa"/>
            <w:tcBorders>
              <w:top w:val="single" w:color="auto" w:sz="4" w:space="0"/>
              <w:left w:val="nil"/>
              <w:bottom w:val="single" w:color="auto" w:sz="4" w:space="0"/>
              <w:right w:val="single" w:color="auto" w:sz="4" w:space="0"/>
            </w:tcBorders>
            <w:vAlign w:val="center"/>
          </w:tcPr>
          <w:p w14:paraId="23333679">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对大众健康水平的提升</w:t>
            </w:r>
          </w:p>
        </w:tc>
        <w:tc>
          <w:tcPr>
            <w:tcW w:w="1311" w:type="dxa"/>
            <w:tcBorders>
              <w:top w:val="single" w:color="auto" w:sz="4" w:space="0"/>
              <w:left w:val="nil"/>
              <w:bottom w:val="single" w:color="auto" w:sz="4" w:space="0"/>
              <w:right w:val="single" w:color="auto" w:sz="4" w:space="0"/>
            </w:tcBorders>
            <w:vAlign w:val="center"/>
          </w:tcPr>
          <w:p w14:paraId="7EBD8BA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持续提升</w:t>
            </w:r>
          </w:p>
        </w:tc>
        <w:tc>
          <w:tcPr>
            <w:tcW w:w="1269" w:type="dxa"/>
            <w:tcBorders>
              <w:top w:val="single" w:color="auto" w:sz="4" w:space="0"/>
              <w:left w:val="nil"/>
              <w:bottom w:val="single" w:color="auto" w:sz="4" w:space="0"/>
              <w:right w:val="single" w:color="auto" w:sz="4" w:space="0"/>
            </w:tcBorders>
            <w:vAlign w:val="center"/>
          </w:tcPr>
          <w:p w14:paraId="48A2B139">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持续提升</w:t>
            </w:r>
          </w:p>
        </w:tc>
        <w:tc>
          <w:tcPr>
            <w:tcW w:w="716" w:type="dxa"/>
            <w:tcBorders>
              <w:top w:val="single" w:color="auto" w:sz="4" w:space="0"/>
              <w:left w:val="nil"/>
              <w:bottom w:val="single" w:color="auto" w:sz="4" w:space="0"/>
              <w:right w:val="single" w:color="auto" w:sz="4" w:space="0"/>
            </w:tcBorders>
            <w:vAlign w:val="center"/>
          </w:tcPr>
          <w:p w14:paraId="2475BCCA">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single" w:color="auto" w:sz="4" w:space="0"/>
              <w:left w:val="nil"/>
              <w:bottom w:val="single" w:color="auto" w:sz="4" w:space="0"/>
              <w:right w:val="single" w:color="auto" w:sz="4" w:space="0"/>
            </w:tcBorders>
            <w:vAlign w:val="center"/>
          </w:tcPr>
          <w:p w14:paraId="53D8462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652" w:type="dxa"/>
            <w:tcBorders>
              <w:top w:val="single" w:color="auto" w:sz="4" w:space="0"/>
              <w:left w:val="nil"/>
              <w:bottom w:val="single" w:color="auto" w:sz="4" w:space="0"/>
              <w:right w:val="single" w:color="auto" w:sz="4" w:space="0"/>
            </w:tcBorders>
            <w:vAlign w:val="center"/>
          </w:tcPr>
          <w:p w14:paraId="2B075B66">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1D20E73">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vAlign w:val="center"/>
          </w:tcPr>
          <w:p w14:paraId="3897C758">
            <w:pPr>
              <w:spacing w:line="24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vAlign w:val="center"/>
          </w:tcPr>
          <w:p w14:paraId="31C7579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14:paraId="4777B616">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14:paraId="5691445B">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034" w:type="dxa"/>
            <w:vMerge w:val="restart"/>
            <w:tcBorders>
              <w:top w:val="single" w:color="auto" w:sz="4" w:space="0"/>
              <w:left w:val="nil"/>
              <w:bottom w:val="single" w:color="auto" w:sz="4" w:space="0"/>
              <w:right w:val="single" w:color="auto" w:sz="4" w:space="0"/>
            </w:tcBorders>
            <w:vAlign w:val="center"/>
          </w:tcPr>
          <w:p w14:paraId="1DF83326">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1270" w:type="dxa"/>
            <w:tcBorders>
              <w:top w:val="single" w:color="auto" w:sz="4" w:space="0"/>
              <w:left w:val="nil"/>
              <w:bottom w:val="single" w:color="auto" w:sz="4" w:space="0"/>
              <w:right w:val="single" w:color="auto" w:sz="4" w:space="0"/>
            </w:tcBorders>
            <w:vAlign w:val="center"/>
          </w:tcPr>
          <w:p w14:paraId="55CEF559">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监管相对人满意率</w:t>
            </w:r>
          </w:p>
        </w:tc>
        <w:tc>
          <w:tcPr>
            <w:tcW w:w="1311" w:type="dxa"/>
            <w:tcBorders>
              <w:top w:val="nil"/>
              <w:left w:val="nil"/>
              <w:bottom w:val="single" w:color="auto" w:sz="4" w:space="0"/>
              <w:right w:val="single" w:color="auto" w:sz="4" w:space="0"/>
            </w:tcBorders>
            <w:vAlign w:val="center"/>
          </w:tcPr>
          <w:p w14:paraId="7FA7282D">
            <w:pPr>
              <w:widowControl/>
              <w:spacing w:line="240" w:lineRule="exact"/>
              <w:jc w:val="center"/>
              <w:rPr>
                <w:rFonts w:ascii="仿宋_GB2312" w:hAnsi="仿宋_GB2312" w:eastAsia="仿宋_GB2312" w:cs="仿宋_GB2312"/>
                <w:color w:val="000000"/>
                <w:sz w:val="20"/>
                <w:szCs w:val="20"/>
              </w:rPr>
            </w:pPr>
            <w:r>
              <w:rPr>
                <w:rFonts w:hint="eastAsia" w:ascii="微软雅黑" w:hAnsi="微软雅黑" w:eastAsia="微软雅黑" w:cs="微软雅黑"/>
                <w:color w:val="000000"/>
                <w:sz w:val="20"/>
                <w:szCs w:val="20"/>
              </w:rPr>
              <w:t>≧</w:t>
            </w:r>
            <w:r>
              <w:rPr>
                <w:rFonts w:hAnsi="仿宋_GB2312"/>
                <w:sz w:val="20"/>
                <w:szCs w:val="20"/>
              </w:rPr>
              <w:t>9</w:t>
            </w:r>
            <w:r>
              <w:rPr>
                <w:rFonts w:hint="eastAsia" w:hAnsi="仿宋_GB2312"/>
                <w:sz w:val="20"/>
                <w:szCs w:val="20"/>
              </w:rPr>
              <w:t>5</w:t>
            </w:r>
            <w:r>
              <w:rPr>
                <w:rFonts w:hAnsi="仿宋_GB2312"/>
                <w:sz w:val="20"/>
                <w:szCs w:val="20"/>
              </w:rPr>
              <w:t>%</w:t>
            </w:r>
          </w:p>
        </w:tc>
        <w:tc>
          <w:tcPr>
            <w:tcW w:w="1269" w:type="dxa"/>
            <w:tcBorders>
              <w:top w:val="nil"/>
              <w:left w:val="nil"/>
              <w:bottom w:val="single" w:color="auto" w:sz="4" w:space="0"/>
              <w:right w:val="single" w:color="auto" w:sz="4" w:space="0"/>
            </w:tcBorders>
            <w:vAlign w:val="center"/>
          </w:tcPr>
          <w:p w14:paraId="4ABD462D">
            <w:pPr>
              <w:widowControl/>
              <w:spacing w:line="240" w:lineRule="exact"/>
              <w:jc w:val="center"/>
              <w:rPr>
                <w:rFonts w:ascii="仿宋_GB2312" w:hAnsi="仿宋_GB2312" w:eastAsia="仿宋_GB2312" w:cs="仿宋_GB2312"/>
                <w:color w:val="000000"/>
                <w:sz w:val="20"/>
                <w:szCs w:val="20"/>
              </w:rPr>
            </w:pPr>
            <w:r>
              <w:rPr>
                <w:rFonts w:hint="eastAsia" w:ascii="微软雅黑" w:hAnsi="微软雅黑" w:eastAsia="微软雅黑" w:cs="微软雅黑"/>
                <w:color w:val="000000"/>
                <w:sz w:val="20"/>
                <w:szCs w:val="20"/>
              </w:rPr>
              <w:t>≧</w:t>
            </w:r>
            <w:r>
              <w:rPr>
                <w:rFonts w:hAnsi="仿宋_GB2312"/>
                <w:sz w:val="20"/>
                <w:szCs w:val="20"/>
              </w:rPr>
              <w:t>9</w:t>
            </w:r>
            <w:r>
              <w:rPr>
                <w:rFonts w:hint="eastAsia" w:hAnsi="仿宋_GB2312"/>
                <w:sz w:val="20"/>
                <w:szCs w:val="20"/>
              </w:rPr>
              <w:t>5</w:t>
            </w:r>
            <w:r>
              <w:rPr>
                <w:rFonts w:hAnsi="仿宋_GB2312"/>
                <w:sz w:val="20"/>
                <w:szCs w:val="20"/>
              </w:rPr>
              <w:t>%</w:t>
            </w:r>
          </w:p>
        </w:tc>
        <w:tc>
          <w:tcPr>
            <w:tcW w:w="716" w:type="dxa"/>
            <w:tcBorders>
              <w:top w:val="nil"/>
              <w:left w:val="nil"/>
              <w:bottom w:val="single" w:color="auto" w:sz="4" w:space="0"/>
              <w:right w:val="single" w:color="auto" w:sz="4" w:space="0"/>
            </w:tcBorders>
            <w:vAlign w:val="center"/>
          </w:tcPr>
          <w:p w14:paraId="5A3A01B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vAlign w:val="center"/>
          </w:tcPr>
          <w:p w14:paraId="7E5FB8D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652" w:type="dxa"/>
            <w:tcBorders>
              <w:top w:val="nil"/>
              <w:left w:val="nil"/>
              <w:bottom w:val="single" w:color="auto" w:sz="4" w:space="0"/>
              <w:right w:val="single" w:color="auto" w:sz="4" w:space="0"/>
            </w:tcBorders>
            <w:vAlign w:val="center"/>
          </w:tcPr>
          <w:p w14:paraId="3944071F">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63EA73F">
        <w:tblPrEx>
          <w:tblCellMar>
            <w:top w:w="0" w:type="dxa"/>
            <w:left w:w="108" w:type="dxa"/>
            <w:bottom w:w="0" w:type="dxa"/>
            <w:right w:w="108" w:type="dxa"/>
          </w:tblCellMar>
        </w:tblPrEx>
        <w:trPr>
          <w:trHeight w:val="505" w:hRule="atLeast"/>
          <w:jc w:val="center"/>
        </w:trPr>
        <w:tc>
          <w:tcPr>
            <w:tcW w:w="1080" w:type="dxa"/>
            <w:vMerge w:val="continue"/>
            <w:tcBorders>
              <w:left w:val="single" w:color="auto" w:sz="4" w:space="0"/>
              <w:right w:val="single" w:color="auto" w:sz="4" w:space="0"/>
            </w:tcBorders>
            <w:vAlign w:val="center"/>
          </w:tcPr>
          <w:p w14:paraId="7281119D">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14:paraId="5C8DAAF3">
            <w:pPr>
              <w:spacing w:line="240" w:lineRule="exact"/>
              <w:jc w:val="left"/>
              <w:rPr>
                <w:rFonts w:ascii="仿宋_GB2312" w:hAnsi="仿宋_GB2312" w:eastAsia="仿宋_GB2312" w:cs="仿宋_GB2312"/>
                <w:color w:val="000000"/>
                <w:sz w:val="20"/>
                <w:szCs w:val="20"/>
              </w:rPr>
            </w:pPr>
          </w:p>
        </w:tc>
        <w:tc>
          <w:tcPr>
            <w:tcW w:w="1034" w:type="dxa"/>
            <w:vMerge w:val="continue"/>
            <w:tcBorders>
              <w:top w:val="single" w:color="auto" w:sz="4" w:space="0"/>
              <w:left w:val="nil"/>
              <w:bottom w:val="single" w:color="auto" w:sz="4" w:space="0"/>
              <w:right w:val="single" w:color="auto" w:sz="4" w:space="0"/>
            </w:tcBorders>
            <w:vAlign w:val="center"/>
          </w:tcPr>
          <w:p w14:paraId="41E400DF">
            <w:pPr>
              <w:spacing w:line="240" w:lineRule="exact"/>
              <w:jc w:val="left"/>
              <w:rPr>
                <w:rFonts w:ascii="仿宋_GB2312" w:hAnsi="仿宋_GB2312" w:eastAsia="仿宋_GB2312" w:cs="仿宋_GB2312"/>
                <w:color w:val="000000"/>
                <w:sz w:val="20"/>
                <w:szCs w:val="20"/>
              </w:rPr>
            </w:pPr>
          </w:p>
        </w:tc>
        <w:tc>
          <w:tcPr>
            <w:tcW w:w="1270" w:type="dxa"/>
            <w:tcBorders>
              <w:top w:val="single" w:color="auto" w:sz="4" w:space="0"/>
              <w:left w:val="nil"/>
              <w:bottom w:val="single" w:color="auto" w:sz="4" w:space="0"/>
              <w:right w:val="single" w:color="auto" w:sz="4" w:space="0"/>
            </w:tcBorders>
            <w:vAlign w:val="center"/>
          </w:tcPr>
          <w:p w14:paraId="6302479F">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群众满意率</w:t>
            </w:r>
          </w:p>
        </w:tc>
        <w:tc>
          <w:tcPr>
            <w:tcW w:w="1311" w:type="dxa"/>
            <w:tcBorders>
              <w:top w:val="nil"/>
              <w:left w:val="nil"/>
              <w:bottom w:val="single" w:color="auto" w:sz="4" w:space="0"/>
              <w:right w:val="single" w:color="auto" w:sz="4" w:space="0"/>
            </w:tcBorders>
            <w:vAlign w:val="center"/>
          </w:tcPr>
          <w:p w14:paraId="69828C14">
            <w:pPr>
              <w:widowControl/>
              <w:spacing w:line="240" w:lineRule="exact"/>
              <w:jc w:val="center"/>
              <w:rPr>
                <w:rFonts w:ascii="仿宋_GB2312" w:hAnsi="仿宋_GB2312" w:eastAsia="仿宋_GB2312" w:cs="仿宋_GB2312"/>
                <w:color w:val="000000"/>
                <w:sz w:val="20"/>
                <w:szCs w:val="20"/>
              </w:rPr>
            </w:pPr>
            <w:r>
              <w:rPr>
                <w:rFonts w:hint="eastAsia" w:ascii="微软雅黑" w:hAnsi="微软雅黑" w:eastAsia="微软雅黑" w:cs="微软雅黑"/>
                <w:color w:val="000000"/>
                <w:sz w:val="20"/>
                <w:szCs w:val="20"/>
              </w:rPr>
              <w:t>≧</w:t>
            </w:r>
            <w:r>
              <w:rPr>
                <w:rFonts w:hAnsi="仿宋_GB2312"/>
                <w:sz w:val="20"/>
                <w:szCs w:val="20"/>
              </w:rPr>
              <w:t>9</w:t>
            </w:r>
            <w:r>
              <w:rPr>
                <w:rFonts w:hint="eastAsia" w:hAnsi="仿宋_GB2312"/>
                <w:sz w:val="20"/>
                <w:szCs w:val="20"/>
              </w:rPr>
              <w:t>5</w:t>
            </w:r>
            <w:r>
              <w:rPr>
                <w:rFonts w:hAnsi="仿宋_GB2312"/>
                <w:sz w:val="20"/>
                <w:szCs w:val="20"/>
              </w:rPr>
              <w:t>%</w:t>
            </w:r>
          </w:p>
        </w:tc>
        <w:tc>
          <w:tcPr>
            <w:tcW w:w="1269" w:type="dxa"/>
            <w:tcBorders>
              <w:top w:val="nil"/>
              <w:left w:val="nil"/>
              <w:bottom w:val="single" w:color="auto" w:sz="4" w:space="0"/>
              <w:right w:val="single" w:color="auto" w:sz="4" w:space="0"/>
            </w:tcBorders>
            <w:vAlign w:val="center"/>
          </w:tcPr>
          <w:p w14:paraId="5044DBFE">
            <w:pPr>
              <w:widowControl/>
              <w:spacing w:line="240" w:lineRule="exact"/>
              <w:jc w:val="center"/>
              <w:rPr>
                <w:rFonts w:ascii="仿宋_GB2312" w:hAnsi="仿宋_GB2312" w:eastAsia="仿宋_GB2312" w:cs="仿宋_GB2312"/>
                <w:color w:val="000000"/>
                <w:sz w:val="20"/>
                <w:szCs w:val="20"/>
              </w:rPr>
            </w:pPr>
            <w:r>
              <w:rPr>
                <w:rFonts w:hint="eastAsia" w:ascii="微软雅黑" w:hAnsi="微软雅黑" w:eastAsia="微软雅黑" w:cs="微软雅黑"/>
                <w:color w:val="000000"/>
                <w:sz w:val="20"/>
                <w:szCs w:val="20"/>
              </w:rPr>
              <w:t>≧</w:t>
            </w:r>
            <w:r>
              <w:rPr>
                <w:rFonts w:hAnsi="仿宋_GB2312"/>
                <w:sz w:val="20"/>
                <w:szCs w:val="20"/>
              </w:rPr>
              <w:t>9</w:t>
            </w:r>
            <w:r>
              <w:rPr>
                <w:rFonts w:hint="eastAsia" w:hAnsi="仿宋_GB2312"/>
                <w:sz w:val="20"/>
                <w:szCs w:val="20"/>
              </w:rPr>
              <w:t>5</w:t>
            </w:r>
            <w:r>
              <w:rPr>
                <w:rFonts w:hAnsi="仿宋_GB2312"/>
                <w:sz w:val="20"/>
                <w:szCs w:val="20"/>
              </w:rPr>
              <w:t>%</w:t>
            </w:r>
          </w:p>
        </w:tc>
        <w:tc>
          <w:tcPr>
            <w:tcW w:w="716" w:type="dxa"/>
            <w:tcBorders>
              <w:top w:val="nil"/>
              <w:left w:val="nil"/>
              <w:bottom w:val="single" w:color="auto" w:sz="4" w:space="0"/>
              <w:right w:val="single" w:color="auto" w:sz="4" w:space="0"/>
            </w:tcBorders>
            <w:vAlign w:val="center"/>
          </w:tcPr>
          <w:p w14:paraId="7CB87B5B">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vAlign w:val="center"/>
          </w:tcPr>
          <w:p w14:paraId="4C615B54">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652" w:type="dxa"/>
            <w:tcBorders>
              <w:top w:val="nil"/>
              <w:left w:val="nil"/>
              <w:bottom w:val="single" w:color="auto" w:sz="4" w:space="0"/>
              <w:right w:val="single" w:color="auto" w:sz="4" w:space="0"/>
            </w:tcBorders>
            <w:vAlign w:val="center"/>
          </w:tcPr>
          <w:p w14:paraId="4DF9765D">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083A5CE">
        <w:tblPrEx>
          <w:tblCellMar>
            <w:top w:w="0" w:type="dxa"/>
            <w:left w:w="108" w:type="dxa"/>
            <w:bottom w:w="0" w:type="dxa"/>
            <w:right w:w="108" w:type="dxa"/>
          </w:tblCellMar>
        </w:tblPrEx>
        <w:trPr>
          <w:trHeight w:val="542" w:hRule="atLeast"/>
          <w:jc w:val="center"/>
        </w:trPr>
        <w:tc>
          <w:tcPr>
            <w:tcW w:w="7044" w:type="dxa"/>
            <w:gridSpan w:val="6"/>
            <w:tcBorders>
              <w:top w:val="single" w:color="auto" w:sz="4" w:space="0"/>
              <w:left w:val="single" w:color="auto" w:sz="4" w:space="0"/>
              <w:bottom w:val="single" w:color="auto" w:sz="4" w:space="0"/>
              <w:right w:val="single" w:color="000000" w:sz="4" w:space="0"/>
            </w:tcBorders>
            <w:vAlign w:val="center"/>
          </w:tcPr>
          <w:p w14:paraId="5CA3177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716" w:type="dxa"/>
            <w:tcBorders>
              <w:top w:val="nil"/>
              <w:left w:val="nil"/>
              <w:bottom w:val="single" w:color="auto" w:sz="4" w:space="0"/>
              <w:right w:val="single" w:color="auto" w:sz="4" w:space="0"/>
            </w:tcBorders>
            <w:vAlign w:val="center"/>
          </w:tcPr>
          <w:p w14:paraId="77C7381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873" w:type="dxa"/>
            <w:tcBorders>
              <w:top w:val="nil"/>
              <w:left w:val="nil"/>
              <w:bottom w:val="single" w:color="auto" w:sz="4" w:space="0"/>
              <w:right w:val="single" w:color="auto" w:sz="4" w:space="0"/>
            </w:tcBorders>
            <w:vAlign w:val="center"/>
          </w:tcPr>
          <w:p w14:paraId="30C0D095">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97.9</w:t>
            </w:r>
          </w:p>
        </w:tc>
        <w:tc>
          <w:tcPr>
            <w:tcW w:w="652" w:type="dxa"/>
            <w:tcBorders>
              <w:top w:val="nil"/>
              <w:left w:val="nil"/>
              <w:bottom w:val="single" w:color="auto" w:sz="4" w:space="0"/>
              <w:right w:val="single" w:color="auto" w:sz="4" w:space="0"/>
            </w:tcBorders>
            <w:vAlign w:val="center"/>
          </w:tcPr>
          <w:p w14:paraId="700EBD5E">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14:paraId="682E676C">
      <w:pPr>
        <w:rPr>
          <w:rFonts w:ascii="Times New Roman" w:hAnsi="Times New Roman" w:eastAsia="仿宋_GB2312"/>
          <w:sz w:val="22"/>
          <w:szCs w:val="22"/>
        </w:rPr>
      </w:pPr>
    </w:p>
    <w:p w14:paraId="7E1A41A7">
      <w:pPr>
        <w:rPr>
          <w:rFonts w:hint="eastAsia" w:ascii="Times New Roman" w:hAnsi="Times New Roman" w:eastAsia="仿宋_GB2312"/>
          <w:sz w:val="22"/>
          <w:lang w:val="en-US" w:eastAsia="zh-CN"/>
        </w:rPr>
      </w:pPr>
      <w:r>
        <w:rPr>
          <w:rFonts w:ascii="Times New Roman" w:hAnsi="Times New Roman" w:eastAsia="仿宋_GB2312"/>
          <w:sz w:val="22"/>
        </w:rPr>
        <w:t>填表人：</w:t>
      </w:r>
      <w:r>
        <w:rPr>
          <w:rFonts w:hint="eastAsia" w:ascii="Times New Roman" w:hAnsi="Times New Roman" w:eastAsia="仿宋_GB2312"/>
          <w:sz w:val="22"/>
          <w:lang w:val="en-US" w:eastAsia="zh-CN"/>
        </w:rPr>
        <w:t>谢辉红</w:t>
      </w:r>
      <w:r>
        <w:rPr>
          <w:rFonts w:ascii="Times New Roman" w:hAnsi="Times New Roman" w:eastAsia="仿宋_GB2312"/>
          <w:sz w:val="22"/>
        </w:rPr>
        <w:t>填报日期：</w:t>
      </w:r>
      <w:r>
        <w:rPr>
          <w:rFonts w:hint="eastAsia" w:ascii="Times New Roman" w:hAnsi="Times New Roman" w:eastAsia="仿宋_GB2312"/>
          <w:sz w:val="22"/>
          <w:lang w:val="en-US" w:eastAsia="zh-CN"/>
        </w:rPr>
        <w:t>2024.06.20</w:t>
      </w:r>
      <w:r>
        <w:rPr>
          <w:rFonts w:ascii="Times New Roman" w:hAnsi="Times New Roman" w:eastAsia="仿宋_GB2312"/>
          <w:sz w:val="22"/>
        </w:rPr>
        <w:t xml:space="preserve"> 联系电话：</w:t>
      </w:r>
      <w:r>
        <w:rPr>
          <w:rFonts w:hint="eastAsia" w:ascii="Times New Roman" w:hAnsi="Times New Roman" w:eastAsia="仿宋_GB2312"/>
          <w:sz w:val="22"/>
          <w:lang w:val="en-US" w:eastAsia="zh-CN"/>
        </w:rPr>
        <w:t>13575004315</w:t>
      </w:r>
      <w:r>
        <w:rPr>
          <w:rFonts w:ascii="Times New Roman" w:hAnsi="Times New Roman" w:eastAsia="仿宋_GB2312"/>
          <w:sz w:val="22"/>
        </w:rPr>
        <w:t xml:space="preserve"> 单位负责人签字：</w:t>
      </w:r>
      <w:r>
        <w:rPr>
          <w:rFonts w:hint="eastAsia" w:ascii="Times New Roman" w:hAnsi="Times New Roman" w:eastAsia="仿宋_GB2312"/>
          <w:sz w:val="22"/>
          <w:lang w:val="en-US" w:eastAsia="zh-CN"/>
        </w:rPr>
        <w:t>陈剑</w:t>
      </w:r>
    </w:p>
    <w:p w14:paraId="2DD19FFE">
      <w:pPr>
        <w:widowControl/>
        <w:spacing w:line="600" w:lineRule="exact"/>
        <w:jc w:val="left"/>
        <w:rPr>
          <w:rFonts w:hint="eastAsia" w:ascii="黑体" w:hAnsi="黑体" w:eastAsia="黑体" w:cs="黑体"/>
          <w:sz w:val="32"/>
          <w:szCs w:val="32"/>
          <w:highlight w:val="none"/>
        </w:rPr>
      </w:pPr>
    </w:p>
    <w:p w14:paraId="0B4D256E">
      <w:pPr>
        <w:widowControl/>
        <w:spacing w:line="600" w:lineRule="exact"/>
        <w:jc w:val="left"/>
        <w:rPr>
          <w:rFonts w:hint="eastAsia" w:ascii="黑体" w:hAnsi="黑体" w:eastAsia="黑体" w:cs="黑体"/>
          <w:sz w:val="32"/>
          <w:szCs w:val="32"/>
          <w:highlight w:val="none"/>
        </w:rPr>
      </w:pPr>
    </w:p>
    <w:p w14:paraId="056A5B23">
      <w:pPr>
        <w:widowControl/>
        <w:spacing w:line="600" w:lineRule="exact"/>
        <w:jc w:val="left"/>
        <w:rPr>
          <w:rFonts w:hint="eastAsia" w:ascii="黑体" w:hAnsi="黑体" w:eastAsia="黑体" w:cs="黑体"/>
          <w:sz w:val="32"/>
          <w:szCs w:val="32"/>
          <w:highlight w:val="none"/>
        </w:rPr>
      </w:pPr>
    </w:p>
    <w:p w14:paraId="30A634AC">
      <w:pPr>
        <w:widowControl/>
        <w:spacing w:line="600" w:lineRule="exact"/>
        <w:jc w:val="left"/>
        <w:rPr>
          <w:rFonts w:hint="eastAsia" w:ascii="黑体" w:hAnsi="黑体" w:eastAsia="黑体" w:cs="黑体"/>
          <w:sz w:val="32"/>
          <w:szCs w:val="32"/>
          <w:highlight w:val="none"/>
        </w:rPr>
      </w:pPr>
    </w:p>
    <w:p w14:paraId="1FB99EF0">
      <w:pPr>
        <w:widowControl/>
        <w:spacing w:line="600" w:lineRule="exact"/>
        <w:jc w:val="left"/>
        <w:rPr>
          <w:rFonts w:hint="eastAsia" w:ascii="黑体" w:hAnsi="黑体" w:eastAsia="黑体" w:cs="黑体"/>
          <w:sz w:val="32"/>
          <w:szCs w:val="32"/>
          <w:highlight w:val="none"/>
        </w:rPr>
      </w:pPr>
    </w:p>
    <w:p w14:paraId="3E9221ED">
      <w:pPr>
        <w:widowControl/>
        <w:spacing w:line="600" w:lineRule="exact"/>
        <w:jc w:val="left"/>
        <w:rPr>
          <w:rFonts w:hint="eastAsia" w:ascii="黑体" w:hAnsi="黑体" w:eastAsia="黑体" w:cs="黑体"/>
          <w:sz w:val="32"/>
          <w:szCs w:val="32"/>
          <w:highlight w:val="none"/>
        </w:rPr>
      </w:pPr>
    </w:p>
    <w:p w14:paraId="53A05547">
      <w:pPr>
        <w:widowControl/>
        <w:spacing w:line="600" w:lineRule="exact"/>
        <w:jc w:val="left"/>
        <w:rPr>
          <w:rFonts w:hint="eastAsia" w:ascii="黑体" w:hAnsi="黑体" w:eastAsia="黑体" w:cs="黑体"/>
          <w:sz w:val="32"/>
          <w:szCs w:val="32"/>
          <w:highlight w:val="none"/>
        </w:rPr>
      </w:pPr>
    </w:p>
    <w:p w14:paraId="68A4DB32">
      <w:pPr>
        <w:widowControl/>
        <w:spacing w:line="600" w:lineRule="exact"/>
        <w:jc w:val="left"/>
        <w:rPr>
          <w:rFonts w:hint="eastAsia" w:ascii="黑体" w:hAnsi="黑体" w:eastAsia="黑体" w:cs="黑体"/>
          <w:sz w:val="32"/>
          <w:szCs w:val="32"/>
          <w:highlight w:val="none"/>
        </w:rPr>
      </w:pPr>
    </w:p>
    <w:p w14:paraId="2A4B9441">
      <w:pPr>
        <w:widowControl/>
        <w:spacing w:line="600" w:lineRule="exact"/>
        <w:jc w:val="left"/>
        <w:rPr>
          <w:rFonts w:hint="eastAsia" w:ascii="黑体" w:hAnsi="黑体" w:eastAsia="黑体" w:cs="黑体"/>
          <w:sz w:val="32"/>
          <w:szCs w:val="32"/>
          <w:highlight w:val="none"/>
        </w:rPr>
      </w:pPr>
    </w:p>
    <w:p w14:paraId="69143D6C">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14:paraId="203D4953">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2"/>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640025CA">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2238052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14:paraId="71E7B58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14:paraId="428653D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rPr>
              <w:t>业务工作经费</w:t>
            </w:r>
            <w:r>
              <w:rPr>
                <w:rFonts w:hint="eastAsia" w:ascii="仿宋_GB2312" w:hAnsi="仿宋_GB2312" w:eastAsia="仿宋_GB2312" w:cs="仿宋_GB2312"/>
                <w:color w:val="000000"/>
                <w:sz w:val="20"/>
                <w:szCs w:val="20"/>
                <w:highlight w:val="none"/>
              </w:rPr>
              <w:t>　</w:t>
            </w:r>
          </w:p>
        </w:tc>
      </w:tr>
      <w:tr w14:paraId="094D6BBD">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074A15C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14:paraId="65BF6E1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岳阳市市场监督管理局</w:t>
            </w:r>
          </w:p>
        </w:tc>
        <w:tc>
          <w:tcPr>
            <w:tcW w:w="1134" w:type="dxa"/>
            <w:tcBorders>
              <w:top w:val="single" w:color="auto" w:sz="4" w:space="0"/>
              <w:left w:val="nil"/>
              <w:bottom w:val="single" w:color="auto" w:sz="4" w:space="0"/>
              <w:right w:val="single" w:color="000000" w:sz="4" w:space="0"/>
            </w:tcBorders>
            <w:noWrap w:val="0"/>
            <w:vAlign w:val="center"/>
          </w:tcPr>
          <w:p w14:paraId="4225EFA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14:paraId="4AEEC22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bookmarkStart w:id="0" w:name="_GoBack"/>
            <w:r>
              <w:rPr>
                <w:rFonts w:hint="eastAsia" w:ascii="仿宋_GB2312" w:hAnsi="仿宋_GB2312" w:eastAsia="仿宋_GB2312" w:cs="仿宋_GB2312"/>
                <w:color w:val="000000"/>
                <w:sz w:val="20"/>
                <w:szCs w:val="20"/>
                <w:lang w:val="en-US" w:eastAsia="zh-CN"/>
              </w:rPr>
              <w:t>岳阳市市场监督管理局城陵矶新港区分局</w:t>
            </w:r>
            <w:bookmarkEnd w:id="0"/>
          </w:p>
        </w:tc>
      </w:tr>
      <w:tr w14:paraId="201A1D18">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4F82E7F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14:paraId="40C8AD8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14:paraId="0777557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14:paraId="43773C6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14:paraId="4FCB632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6BBC83A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14:paraId="35F10A4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27CC4F79">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14:paraId="7057292B">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14:paraId="5D3104F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2A72BAE7">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14:paraId="7111BB5C">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53B944F3">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5FE6A3F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096F6F9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14:paraId="3E375E1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59C3608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65.44</w:t>
            </w:r>
          </w:p>
        </w:tc>
        <w:tc>
          <w:tcPr>
            <w:tcW w:w="1134" w:type="dxa"/>
            <w:tcBorders>
              <w:top w:val="nil"/>
              <w:left w:val="nil"/>
              <w:bottom w:val="single" w:color="auto" w:sz="4" w:space="0"/>
              <w:right w:val="single" w:color="auto" w:sz="4" w:space="0"/>
            </w:tcBorders>
            <w:noWrap w:val="0"/>
            <w:vAlign w:val="center"/>
          </w:tcPr>
          <w:p w14:paraId="26C8A1C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65.44</w:t>
            </w:r>
          </w:p>
        </w:tc>
        <w:tc>
          <w:tcPr>
            <w:tcW w:w="828" w:type="dxa"/>
            <w:tcBorders>
              <w:top w:val="nil"/>
              <w:left w:val="nil"/>
              <w:bottom w:val="single" w:color="auto" w:sz="4" w:space="0"/>
              <w:right w:val="single" w:color="auto" w:sz="4" w:space="0"/>
            </w:tcBorders>
            <w:noWrap w:val="0"/>
            <w:vAlign w:val="center"/>
          </w:tcPr>
          <w:p w14:paraId="325E0D7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73" w:type="dxa"/>
            <w:tcBorders>
              <w:top w:val="nil"/>
              <w:left w:val="nil"/>
              <w:bottom w:val="single" w:color="auto" w:sz="4" w:space="0"/>
              <w:right w:val="single" w:color="auto" w:sz="4" w:space="0"/>
            </w:tcBorders>
            <w:noWrap w:val="0"/>
            <w:vAlign w:val="center"/>
          </w:tcPr>
          <w:p w14:paraId="71F832A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14:paraId="18A29F4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14:paraId="51CC9A06">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663D89F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53EC55A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14:paraId="4A23D4A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510E9B3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18.1</w:t>
            </w:r>
          </w:p>
        </w:tc>
        <w:tc>
          <w:tcPr>
            <w:tcW w:w="1134" w:type="dxa"/>
            <w:tcBorders>
              <w:top w:val="nil"/>
              <w:left w:val="nil"/>
              <w:bottom w:val="single" w:color="auto" w:sz="4" w:space="0"/>
              <w:right w:val="single" w:color="auto" w:sz="4" w:space="0"/>
            </w:tcBorders>
            <w:noWrap w:val="0"/>
            <w:vAlign w:val="center"/>
          </w:tcPr>
          <w:p w14:paraId="21EE87E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18.1</w:t>
            </w:r>
          </w:p>
        </w:tc>
        <w:tc>
          <w:tcPr>
            <w:tcW w:w="828" w:type="dxa"/>
            <w:tcBorders>
              <w:top w:val="nil"/>
              <w:left w:val="nil"/>
              <w:bottom w:val="single" w:color="auto" w:sz="4" w:space="0"/>
              <w:right w:val="single" w:color="auto" w:sz="4" w:space="0"/>
            </w:tcBorders>
            <w:noWrap w:val="0"/>
            <w:vAlign w:val="center"/>
          </w:tcPr>
          <w:p w14:paraId="479DF49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543209A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14:paraId="67E06DA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14:paraId="7EDE4A2A">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342BCE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562EDF23">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14:paraId="5643A03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1BE94D5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054DF74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828" w:type="dxa"/>
            <w:tcBorders>
              <w:top w:val="nil"/>
              <w:left w:val="nil"/>
              <w:bottom w:val="single" w:color="auto" w:sz="4" w:space="0"/>
              <w:right w:val="single" w:color="auto" w:sz="4" w:space="0"/>
            </w:tcBorders>
            <w:noWrap w:val="0"/>
            <w:vAlign w:val="center"/>
          </w:tcPr>
          <w:p w14:paraId="0B4816F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25691CC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14:paraId="7FC6D97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14:paraId="2D6D53DC">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17932A2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6ABF2F0B">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14:paraId="67FAEC6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14:paraId="4651055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47.34</w:t>
            </w:r>
          </w:p>
        </w:tc>
        <w:tc>
          <w:tcPr>
            <w:tcW w:w="1134" w:type="dxa"/>
            <w:tcBorders>
              <w:top w:val="nil"/>
              <w:left w:val="nil"/>
              <w:bottom w:val="single" w:color="auto" w:sz="4" w:space="0"/>
              <w:right w:val="single" w:color="auto" w:sz="4" w:space="0"/>
            </w:tcBorders>
            <w:noWrap w:val="0"/>
            <w:vAlign w:val="center"/>
          </w:tcPr>
          <w:p w14:paraId="62E0442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47.34</w:t>
            </w:r>
          </w:p>
        </w:tc>
        <w:tc>
          <w:tcPr>
            <w:tcW w:w="828" w:type="dxa"/>
            <w:tcBorders>
              <w:top w:val="nil"/>
              <w:left w:val="nil"/>
              <w:bottom w:val="single" w:color="auto" w:sz="4" w:space="0"/>
              <w:right w:val="single" w:color="auto" w:sz="4" w:space="0"/>
            </w:tcBorders>
            <w:noWrap w:val="0"/>
            <w:vAlign w:val="center"/>
          </w:tcPr>
          <w:p w14:paraId="28A9348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47.34</w:t>
            </w:r>
          </w:p>
        </w:tc>
        <w:tc>
          <w:tcPr>
            <w:tcW w:w="873" w:type="dxa"/>
            <w:tcBorders>
              <w:top w:val="nil"/>
              <w:left w:val="nil"/>
              <w:bottom w:val="single" w:color="auto" w:sz="4" w:space="0"/>
              <w:right w:val="single" w:color="auto" w:sz="4" w:space="0"/>
            </w:tcBorders>
            <w:noWrap w:val="0"/>
            <w:vAlign w:val="center"/>
          </w:tcPr>
          <w:p w14:paraId="1172FCC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14:paraId="03F029A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14:paraId="2F97D96A">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0CCD49F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347E2B0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2539C19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58113D16">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448FD0F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14:paraId="79CB7EC0">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目标1：保障</w:t>
            </w:r>
            <w:r>
              <w:rPr>
                <w:rFonts w:hint="eastAsia" w:ascii="仿宋_GB2312" w:hAnsi="仿宋_GB2312" w:eastAsia="仿宋_GB2312" w:cs="仿宋_GB2312"/>
                <w:color w:val="000000"/>
                <w:sz w:val="20"/>
                <w:szCs w:val="20"/>
              </w:rPr>
              <w:t>知识产权</w:t>
            </w:r>
            <w:r>
              <w:rPr>
                <w:rFonts w:hint="eastAsia" w:ascii="仿宋_GB2312" w:hAnsi="仿宋_GB2312" w:eastAsia="仿宋_GB2312" w:cs="仿宋_GB2312"/>
                <w:color w:val="000000"/>
                <w:sz w:val="20"/>
                <w:szCs w:val="20"/>
                <w:lang w:val="en-US" w:eastAsia="zh-CN"/>
              </w:rPr>
              <w:t>工作人员经费正常发放及及工作顺利开展；</w:t>
            </w:r>
          </w:p>
          <w:p w14:paraId="34DF26D1">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目标2：实施商标品牌战略，强化知识产权保护；</w:t>
            </w:r>
          </w:p>
          <w:p w14:paraId="31CAE95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val="en-US" w:eastAsia="zh-CN"/>
              </w:rPr>
              <w:t>目标3：</w:t>
            </w:r>
            <w:r>
              <w:rPr>
                <w:rFonts w:hint="eastAsia" w:ascii="仿宋_GB2312" w:hAnsi="仿宋_GB2312" w:eastAsia="仿宋_GB2312" w:cs="仿宋_GB2312"/>
                <w:color w:val="000000"/>
                <w:sz w:val="20"/>
                <w:szCs w:val="20"/>
              </w:rPr>
              <w:t>开展食品及保健食品、药品、医疗器械、化妆品、特种设备</w:t>
            </w:r>
            <w:r>
              <w:rPr>
                <w:rFonts w:hint="eastAsia" w:ascii="仿宋_GB2312" w:hAnsi="仿宋_GB2312" w:eastAsia="仿宋_GB2312" w:cs="仿宋_GB2312"/>
                <w:color w:val="000000"/>
                <w:sz w:val="20"/>
                <w:szCs w:val="20"/>
                <w:lang w:val="en-US" w:eastAsia="zh-CN"/>
              </w:rPr>
              <w:t>安全</w:t>
            </w:r>
            <w:r>
              <w:rPr>
                <w:rFonts w:hint="eastAsia" w:ascii="仿宋_GB2312" w:hAnsi="仿宋_GB2312" w:eastAsia="仿宋_GB2312" w:cs="仿宋_GB2312"/>
                <w:color w:val="000000"/>
                <w:sz w:val="20"/>
                <w:szCs w:val="20"/>
              </w:rPr>
              <w:t>监管</w:t>
            </w:r>
            <w:r>
              <w:rPr>
                <w:rFonts w:hint="eastAsia" w:ascii="仿宋_GB2312" w:hAnsi="仿宋_GB2312" w:eastAsia="仿宋_GB2312" w:cs="仿宋_GB2312"/>
                <w:color w:val="000000"/>
                <w:sz w:val="20"/>
                <w:szCs w:val="20"/>
                <w:lang w:val="en-US" w:eastAsia="zh-CN"/>
              </w:rPr>
              <w:t>及</w:t>
            </w:r>
            <w:r>
              <w:rPr>
                <w:rFonts w:hint="eastAsia" w:ascii="仿宋_GB2312" w:hAnsi="仿宋_GB2312" w:eastAsia="仿宋_GB2312" w:cs="仿宋_GB2312"/>
                <w:color w:val="000000"/>
                <w:sz w:val="20"/>
                <w:szCs w:val="20"/>
              </w:rPr>
              <w:t>食品、药品等抽验工作</w:t>
            </w:r>
            <w:r>
              <w:rPr>
                <w:rFonts w:hint="eastAsia" w:ascii="仿宋_GB2312" w:hAnsi="仿宋_GB2312" w:eastAsia="仿宋_GB2312" w:cs="仿宋_GB2312"/>
                <w:color w:val="000000"/>
                <w:sz w:val="20"/>
                <w:szCs w:val="20"/>
                <w:lang w:eastAsia="zh-CN"/>
              </w:rPr>
              <w:t>；</w:t>
            </w:r>
          </w:p>
          <w:p w14:paraId="57739D0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目标4：强化消费维权，全力化解消费纠纷。</w:t>
            </w:r>
          </w:p>
          <w:p w14:paraId="39C9CC5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4253" w:type="dxa"/>
            <w:gridSpan w:val="4"/>
            <w:tcBorders>
              <w:top w:val="single" w:color="auto" w:sz="4" w:space="0"/>
              <w:left w:val="nil"/>
              <w:bottom w:val="single" w:color="auto" w:sz="4" w:space="0"/>
              <w:right w:val="single" w:color="auto" w:sz="4" w:space="0"/>
            </w:tcBorders>
            <w:noWrap w:val="0"/>
            <w:vAlign w:val="center"/>
          </w:tcPr>
          <w:p w14:paraId="1D0EBF49">
            <w:pPr>
              <w:keepNext w:val="0"/>
              <w:keepLines w:val="0"/>
              <w:pageBreakBefore w:val="0"/>
              <w:widowControl/>
              <w:numPr>
                <w:ilvl w:val="0"/>
                <w:numId w:val="0"/>
              </w:numPr>
              <w:kinsoku/>
              <w:wordWrap/>
              <w:overflowPunct/>
              <w:topLinePunct w:val="0"/>
              <w:autoSpaceDE/>
              <w:autoSpaceDN/>
              <w:bidi w:val="0"/>
              <w:adjustRightInd/>
              <w:snapToGrid/>
              <w:spacing w:line="260" w:lineRule="exact"/>
              <w:ind w:left="200" w:leftChars="0"/>
              <w:jc w:val="left"/>
              <w:textAlignment w:val="auto"/>
              <w:rPr>
                <w:rFonts w:ascii="仿宋_GB2312" w:hAnsi="仿宋_GB2312" w:eastAsia="仿宋_GB2312" w:cs="仿宋_GB2312"/>
                <w:sz w:val="32"/>
                <w:szCs w:val="32"/>
                <w:lang w:eastAsia="zh-CN"/>
              </w:rPr>
            </w:pPr>
            <w:r>
              <w:rPr>
                <w:rFonts w:hint="eastAsia" w:ascii="仿宋_GB2312" w:hAnsi="仿宋_GB2312" w:eastAsia="仿宋_GB2312" w:cs="仿宋_GB2312"/>
                <w:color w:val="000000"/>
                <w:sz w:val="20"/>
                <w:szCs w:val="20"/>
                <w:lang w:val="en-US" w:eastAsia="zh-CN"/>
              </w:rPr>
              <w:t>1、</w:t>
            </w:r>
            <w:r>
              <w:rPr>
                <w:rFonts w:hint="eastAsia" w:ascii="仿宋_GB2312" w:hAnsi="仿宋_GB2312" w:eastAsia="仿宋_GB2312" w:cs="仿宋_GB2312"/>
                <w:color w:val="000000"/>
                <w:sz w:val="20"/>
                <w:szCs w:val="20"/>
              </w:rPr>
              <w:t xml:space="preserve">目前有 </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名工作人员，</w:t>
            </w:r>
            <w:r>
              <w:rPr>
                <w:rFonts w:hint="eastAsia" w:ascii="仿宋_GB2312" w:hAnsi="仿宋_GB2312" w:eastAsia="仿宋_GB2312" w:cs="仿宋_GB2312"/>
                <w:color w:val="000000"/>
                <w:sz w:val="20"/>
                <w:szCs w:val="20"/>
                <w:lang w:val="en-US" w:eastAsia="zh-CN"/>
              </w:rPr>
              <w:t>经过</w:t>
            </w:r>
            <w:r>
              <w:rPr>
                <w:rFonts w:hint="eastAsia" w:ascii="仿宋_GB2312" w:hAnsi="仿宋_GB2312" w:eastAsia="仿宋_GB2312" w:cs="仿宋_GB2312"/>
                <w:color w:val="000000"/>
                <w:sz w:val="20"/>
                <w:szCs w:val="20"/>
              </w:rPr>
              <w:t>知识产权专业培训，目前分中心工作人员均熟悉知识产权知识。设有知识产权维权援助室、学习培训室、综合业务办公室、服务窗口等功能性场所</w:t>
            </w:r>
            <w:r>
              <w:rPr>
                <w:rFonts w:hint="eastAsia" w:ascii="仿宋_GB2312" w:hAnsi="仿宋_GB2312" w:eastAsia="仿宋_GB2312" w:cs="仿宋_GB2312"/>
                <w:color w:val="000000"/>
                <w:sz w:val="20"/>
                <w:szCs w:val="20"/>
                <w:lang w:eastAsia="zh-CN"/>
              </w:rPr>
              <w:t>。</w:t>
            </w:r>
          </w:p>
          <w:p w14:paraId="7AF3CC20">
            <w:pPr>
              <w:keepNext w:val="0"/>
              <w:keepLines w:val="0"/>
              <w:pageBreakBefore w:val="0"/>
              <w:widowControl/>
              <w:numPr>
                <w:ilvl w:val="0"/>
                <w:numId w:val="0"/>
              </w:numPr>
              <w:kinsoku/>
              <w:wordWrap/>
              <w:overflowPunct/>
              <w:topLinePunct w:val="0"/>
              <w:autoSpaceDE/>
              <w:autoSpaceDN/>
              <w:bidi w:val="0"/>
              <w:adjustRightInd/>
              <w:snapToGrid/>
              <w:spacing w:line="260" w:lineRule="exact"/>
              <w:ind w:left="200" w:leftChars="0"/>
              <w:jc w:val="left"/>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val="en-US" w:eastAsia="zh-CN"/>
              </w:rPr>
              <w:t>2、</w:t>
            </w:r>
            <w:r>
              <w:rPr>
                <w:rFonts w:hint="eastAsia" w:ascii="仿宋_GB2312" w:hAnsi="仿宋_GB2312" w:eastAsia="仿宋_GB2312" w:cs="仿宋_GB2312"/>
                <w:color w:val="000000"/>
                <w:sz w:val="20"/>
                <w:szCs w:val="20"/>
                <w:lang w:eastAsia="zh-CN"/>
              </w:rPr>
              <w:t>全区授权专利327，其中发明专利授权70件，同比增长70.73%，有效发明专利总量为312件，万人拥有量为94.833，排名全市第一。2023年，新港区海外专利实现零的突破，共授权2件国外专利PCT。</w:t>
            </w:r>
          </w:p>
          <w:p w14:paraId="7E100B8A">
            <w:pPr>
              <w:keepNext w:val="0"/>
              <w:keepLines w:val="0"/>
              <w:pageBreakBefore w:val="0"/>
              <w:widowControl/>
              <w:numPr>
                <w:ilvl w:val="0"/>
                <w:numId w:val="0"/>
              </w:numPr>
              <w:kinsoku/>
              <w:wordWrap/>
              <w:overflowPunct/>
              <w:topLinePunct w:val="0"/>
              <w:autoSpaceDE/>
              <w:autoSpaceDN/>
              <w:bidi w:val="0"/>
              <w:adjustRightInd/>
              <w:snapToGrid/>
              <w:spacing w:line="260" w:lineRule="exact"/>
              <w:ind w:left="200" w:leftChars="0"/>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lang w:eastAsia="zh-CN"/>
              </w:rPr>
              <w:t>我局监管覆盖率达到了100%，通过日常监督及专项检查，下达责令改正通知书18份，食品相关行政指导200余次。全年无无重大安全事故。我们组织开展2场大型港区“百家企业学法”专题讲座，向特种设备使用单位宣贯了国家总局73号、74号令和法律法规常识，通过监督检查发现安全隐患73起，立案5起，结案5起。</w:t>
            </w:r>
          </w:p>
          <w:p w14:paraId="06AC7453">
            <w:pPr>
              <w:keepNext w:val="0"/>
              <w:keepLines w:val="0"/>
              <w:pageBreakBefore w:val="0"/>
              <w:widowControl/>
              <w:numPr>
                <w:ilvl w:val="0"/>
                <w:numId w:val="0"/>
              </w:numPr>
              <w:kinsoku/>
              <w:wordWrap/>
              <w:overflowPunct/>
              <w:topLinePunct w:val="0"/>
              <w:autoSpaceDE/>
              <w:autoSpaceDN/>
              <w:bidi w:val="0"/>
              <w:adjustRightInd/>
              <w:snapToGrid/>
              <w:spacing w:line="260" w:lineRule="exact"/>
              <w:ind w:left="200" w:leftChars="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r>
              <w:rPr>
                <w:rFonts w:hint="eastAsia" w:ascii="仿宋_GB2312" w:hAnsi="仿宋_GB2312" w:eastAsia="仿宋_GB2312" w:cs="仿宋_GB2312"/>
                <w:color w:val="000000"/>
                <w:sz w:val="20"/>
                <w:szCs w:val="20"/>
                <w:lang w:eastAsia="zh-CN"/>
              </w:rPr>
              <w:t>共受理各类消费投诉、咨询、举报、信访725起，市长信箱、信访件13件，办结率100%，共为消费者挽回经济损失88.6余万元；12315效能评估排在全市第一位</w:t>
            </w:r>
            <w:r>
              <w:rPr>
                <w:rFonts w:hint="eastAsia" w:ascii="仿宋_GB2312" w:hAnsi="宋体" w:eastAsia="仿宋_GB2312" w:cs="仿宋_GB2312"/>
                <w:color w:val="000000"/>
                <w:sz w:val="31"/>
                <w:szCs w:val="31"/>
                <w:shd w:val="clear" w:color="auto" w:fill="FFFFFF"/>
              </w:rPr>
              <w:t>。</w:t>
            </w:r>
          </w:p>
        </w:tc>
      </w:tr>
      <w:tr w14:paraId="7353AFD8">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2B9B25D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739C3BB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4BF3B81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7CA1733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14:paraId="18B178B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14:paraId="59041AF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14:paraId="46EA3F6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14:paraId="726C5D3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14:paraId="6C54E61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14:paraId="4109631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14:paraId="43F0CA0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14:paraId="3C52070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25A6003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14:paraId="4BED0160">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02EA407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25F983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33250EF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08E808D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30E5250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nil"/>
              <w:left w:val="nil"/>
              <w:right w:val="single" w:color="auto" w:sz="4" w:space="0"/>
            </w:tcBorders>
            <w:noWrap w:val="0"/>
            <w:vAlign w:val="center"/>
          </w:tcPr>
          <w:p w14:paraId="46978C1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14:paraId="3D6AD11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保障</w:t>
            </w:r>
            <w:r>
              <w:rPr>
                <w:rFonts w:hint="eastAsia" w:ascii="仿宋_GB2312" w:hAnsi="仿宋_GB2312" w:eastAsia="仿宋_GB2312" w:cs="仿宋_GB2312"/>
                <w:color w:val="000000"/>
                <w:sz w:val="20"/>
                <w:szCs w:val="20"/>
              </w:rPr>
              <w:t>知识产权</w:t>
            </w:r>
            <w:r>
              <w:rPr>
                <w:rFonts w:hint="eastAsia" w:ascii="仿宋_GB2312" w:hAnsi="仿宋_GB2312" w:eastAsia="仿宋_GB2312" w:cs="仿宋_GB2312"/>
                <w:color w:val="000000"/>
                <w:sz w:val="20"/>
                <w:szCs w:val="20"/>
                <w:lang w:val="en-US" w:eastAsia="zh-CN"/>
              </w:rPr>
              <w:t>工作人员经费</w:t>
            </w:r>
          </w:p>
        </w:tc>
        <w:tc>
          <w:tcPr>
            <w:tcW w:w="1134" w:type="dxa"/>
            <w:tcBorders>
              <w:top w:val="nil"/>
              <w:left w:val="nil"/>
              <w:bottom w:val="single" w:color="auto" w:sz="4" w:space="0"/>
              <w:right w:val="single" w:color="auto" w:sz="4" w:space="0"/>
            </w:tcBorders>
            <w:noWrap w:val="0"/>
            <w:vAlign w:val="center"/>
          </w:tcPr>
          <w:p w14:paraId="54DD5F3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3人</w:t>
            </w:r>
          </w:p>
        </w:tc>
        <w:tc>
          <w:tcPr>
            <w:tcW w:w="1134" w:type="dxa"/>
            <w:tcBorders>
              <w:top w:val="nil"/>
              <w:left w:val="nil"/>
              <w:bottom w:val="single" w:color="auto" w:sz="4" w:space="0"/>
              <w:right w:val="single" w:color="auto" w:sz="4" w:space="0"/>
            </w:tcBorders>
            <w:noWrap w:val="0"/>
            <w:vAlign w:val="center"/>
          </w:tcPr>
          <w:p w14:paraId="3D962B7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3人</w:t>
            </w:r>
          </w:p>
        </w:tc>
        <w:tc>
          <w:tcPr>
            <w:tcW w:w="828" w:type="dxa"/>
            <w:tcBorders>
              <w:top w:val="nil"/>
              <w:left w:val="nil"/>
              <w:bottom w:val="single" w:color="auto" w:sz="4" w:space="0"/>
              <w:right w:val="single" w:color="auto" w:sz="4" w:space="0"/>
            </w:tcBorders>
            <w:noWrap w:val="0"/>
            <w:vAlign w:val="center"/>
          </w:tcPr>
          <w:p w14:paraId="25EDFCE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op w:val="nil"/>
              <w:left w:val="nil"/>
              <w:bottom w:val="single" w:color="auto" w:sz="4" w:space="0"/>
              <w:right w:val="single" w:color="auto" w:sz="4" w:space="0"/>
            </w:tcBorders>
            <w:noWrap w:val="0"/>
            <w:vAlign w:val="center"/>
          </w:tcPr>
          <w:p w14:paraId="46BE5E6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775C81B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5AD5D88">
        <w:trPr>
          <w:jc w:val="center"/>
        </w:trPr>
        <w:tc>
          <w:tcPr>
            <w:tcW w:w="1080" w:type="dxa"/>
            <w:vMerge w:val="continue"/>
            <w:tcBorders>
              <w:left w:val="single" w:color="auto" w:sz="4" w:space="0"/>
              <w:right w:val="single" w:color="auto" w:sz="4" w:space="0"/>
            </w:tcBorders>
            <w:noWrap w:val="0"/>
            <w:vAlign w:val="center"/>
          </w:tcPr>
          <w:p w14:paraId="5A407EF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7C9245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30631EC9">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137D0FA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查处违法案件数</w:t>
            </w:r>
          </w:p>
        </w:tc>
        <w:tc>
          <w:tcPr>
            <w:tcW w:w="1134" w:type="dxa"/>
            <w:tcBorders>
              <w:top w:val="nil"/>
              <w:left w:val="nil"/>
              <w:bottom w:val="single" w:color="auto" w:sz="4" w:space="0"/>
              <w:right w:val="single" w:color="auto" w:sz="4" w:space="0"/>
            </w:tcBorders>
            <w:noWrap w:val="0"/>
            <w:vAlign w:val="center"/>
          </w:tcPr>
          <w:p w14:paraId="384AB63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134" w:type="dxa"/>
            <w:tcBorders>
              <w:top w:val="nil"/>
              <w:left w:val="nil"/>
              <w:bottom w:val="single" w:color="auto" w:sz="4" w:space="0"/>
              <w:right w:val="single" w:color="auto" w:sz="4" w:space="0"/>
            </w:tcBorders>
            <w:noWrap w:val="0"/>
            <w:vAlign w:val="center"/>
          </w:tcPr>
          <w:p w14:paraId="4BC3D9F2">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w:t>
            </w:r>
          </w:p>
        </w:tc>
        <w:tc>
          <w:tcPr>
            <w:tcW w:w="828" w:type="dxa"/>
            <w:tcBorders>
              <w:top w:val="nil"/>
              <w:left w:val="nil"/>
              <w:bottom w:val="single" w:color="auto" w:sz="4" w:space="0"/>
              <w:right w:val="single" w:color="auto" w:sz="4" w:space="0"/>
            </w:tcBorders>
            <w:noWrap w:val="0"/>
            <w:vAlign w:val="center"/>
          </w:tcPr>
          <w:p w14:paraId="49AAA9D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0211AB0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14:paraId="062FC7D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A4EA8F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D727E1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34C3B8D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4F4F0E9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777D8A4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p>
        </w:tc>
        <w:tc>
          <w:tcPr>
            <w:tcW w:w="1134" w:type="dxa"/>
            <w:tcBorders>
              <w:top w:val="nil"/>
              <w:left w:val="nil"/>
              <w:bottom w:val="single" w:color="auto" w:sz="4" w:space="0"/>
              <w:right w:val="single" w:color="auto" w:sz="4" w:space="0"/>
            </w:tcBorders>
            <w:noWrap w:val="0"/>
            <w:vAlign w:val="center"/>
          </w:tcPr>
          <w:p w14:paraId="003EC0B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2F16B49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14DFAED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0EB3E19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227FC60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401C92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5D5FC3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388F6FF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3F05FA8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nil"/>
              <w:left w:val="nil"/>
              <w:bottom w:val="single" w:color="auto" w:sz="4" w:space="0"/>
              <w:right w:val="single" w:color="auto" w:sz="4" w:space="0"/>
            </w:tcBorders>
            <w:noWrap w:val="0"/>
            <w:vAlign w:val="center"/>
          </w:tcPr>
          <w:p w14:paraId="0B7B4FB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监管覆盖率</w:t>
            </w:r>
          </w:p>
        </w:tc>
        <w:tc>
          <w:tcPr>
            <w:tcW w:w="1134" w:type="dxa"/>
            <w:tcBorders>
              <w:top w:val="nil"/>
              <w:left w:val="nil"/>
              <w:bottom w:val="single" w:color="auto" w:sz="4" w:space="0"/>
              <w:right w:val="single" w:color="auto" w:sz="4" w:space="0"/>
            </w:tcBorders>
            <w:noWrap w:val="0"/>
            <w:vAlign w:val="center"/>
          </w:tcPr>
          <w:p w14:paraId="02EB64B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100%</w:t>
            </w:r>
          </w:p>
        </w:tc>
        <w:tc>
          <w:tcPr>
            <w:tcW w:w="1134" w:type="dxa"/>
            <w:tcBorders>
              <w:top w:val="nil"/>
              <w:left w:val="nil"/>
              <w:bottom w:val="single" w:color="auto" w:sz="4" w:space="0"/>
              <w:right w:val="single" w:color="auto" w:sz="4" w:space="0"/>
            </w:tcBorders>
            <w:noWrap w:val="0"/>
            <w:vAlign w:val="center"/>
          </w:tcPr>
          <w:p w14:paraId="4EC01B4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实际完成100%</w:t>
            </w:r>
          </w:p>
        </w:tc>
        <w:tc>
          <w:tcPr>
            <w:tcW w:w="828" w:type="dxa"/>
            <w:tcBorders>
              <w:top w:val="nil"/>
              <w:left w:val="nil"/>
              <w:bottom w:val="single" w:color="auto" w:sz="4" w:space="0"/>
              <w:right w:val="single" w:color="auto" w:sz="4" w:space="0"/>
            </w:tcBorders>
            <w:noWrap w:val="0"/>
            <w:vAlign w:val="center"/>
          </w:tcPr>
          <w:p w14:paraId="26D3BBB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op w:val="nil"/>
              <w:left w:val="nil"/>
              <w:bottom w:val="single" w:color="auto" w:sz="4" w:space="0"/>
              <w:right w:val="single" w:color="auto" w:sz="4" w:space="0"/>
            </w:tcBorders>
            <w:noWrap w:val="0"/>
            <w:vAlign w:val="center"/>
          </w:tcPr>
          <w:p w14:paraId="5292DD8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323DE2F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182FEE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8540FB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025B8BE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0EBECD41">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7FDFC25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案件办结率</w:t>
            </w:r>
          </w:p>
        </w:tc>
        <w:tc>
          <w:tcPr>
            <w:tcW w:w="1134" w:type="dxa"/>
            <w:tcBorders>
              <w:top w:val="nil"/>
              <w:left w:val="nil"/>
              <w:bottom w:val="single" w:color="auto" w:sz="4" w:space="0"/>
              <w:right w:val="single" w:color="auto" w:sz="4" w:space="0"/>
            </w:tcBorders>
            <w:noWrap w:val="0"/>
            <w:vAlign w:val="center"/>
          </w:tcPr>
          <w:p w14:paraId="3828E6F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≧90%</w:t>
            </w:r>
          </w:p>
        </w:tc>
        <w:tc>
          <w:tcPr>
            <w:tcW w:w="1134" w:type="dxa"/>
            <w:tcBorders>
              <w:top w:val="nil"/>
              <w:left w:val="nil"/>
              <w:bottom w:val="single" w:color="auto" w:sz="4" w:space="0"/>
              <w:right w:val="single" w:color="auto" w:sz="4" w:space="0"/>
            </w:tcBorders>
            <w:noWrap w:val="0"/>
            <w:vAlign w:val="center"/>
          </w:tcPr>
          <w:p w14:paraId="7A76CD9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828" w:type="dxa"/>
            <w:tcBorders>
              <w:top w:val="nil"/>
              <w:left w:val="nil"/>
              <w:bottom w:val="single" w:color="auto" w:sz="4" w:space="0"/>
              <w:right w:val="single" w:color="auto" w:sz="4" w:space="0"/>
            </w:tcBorders>
            <w:noWrap w:val="0"/>
            <w:vAlign w:val="center"/>
          </w:tcPr>
          <w:p w14:paraId="100C42B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14:paraId="78CE73D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1418" w:type="dxa"/>
            <w:tcBorders>
              <w:top w:val="nil"/>
              <w:left w:val="nil"/>
              <w:bottom w:val="single" w:color="auto" w:sz="4" w:space="0"/>
              <w:right w:val="single" w:color="auto" w:sz="4" w:space="0"/>
            </w:tcBorders>
            <w:noWrap w:val="0"/>
            <w:vAlign w:val="center"/>
          </w:tcPr>
          <w:p w14:paraId="45F25D2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2819AC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8A2450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3095510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0019B9A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60256B8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p>
        </w:tc>
        <w:tc>
          <w:tcPr>
            <w:tcW w:w="1134" w:type="dxa"/>
            <w:tcBorders>
              <w:top w:val="nil"/>
              <w:left w:val="nil"/>
              <w:bottom w:val="single" w:color="auto" w:sz="4" w:space="0"/>
              <w:right w:val="single" w:color="auto" w:sz="4" w:space="0"/>
            </w:tcBorders>
            <w:noWrap w:val="0"/>
            <w:vAlign w:val="center"/>
          </w:tcPr>
          <w:p w14:paraId="46DA14C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0364F74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3C56983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5F2F73B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6C16C51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2E61E6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CE2603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BF794E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6B43E72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nil"/>
              <w:left w:val="nil"/>
              <w:bottom w:val="single" w:color="auto" w:sz="4" w:space="0"/>
              <w:right w:val="single" w:color="auto" w:sz="4" w:space="0"/>
            </w:tcBorders>
            <w:shd w:val="clear" w:color="auto" w:fill="auto"/>
            <w:noWrap w:val="0"/>
            <w:vAlign w:val="center"/>
          </w:tcPr>
          <w:p w14:paraId="0673F91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bidi="ar-SA"/>
              </w:rPr>
            </w:pPr>
            <w:r>
              <w:rPr>
                <w:rFonts w:hint="eastAsia" w:ascii="仿宋_GB2312" w:hAnsi="仿宋_GB2312" w:eastAsia="仿宋_GB2312" w:cs="仿宋_GB2312"/>
                <w:color w:val="000000"/>
                <w:sz w:val="20"/>
                <w:szCs w:val="20"/>
                <w:lang w:val="en-US" w:eastAsia="zh-CN"/>
              </w:rPr>
              <w:t>资金给付及时性</w:t>
            </w:r>
          </w:p>
        </w:tc>
        <w:tc>
          <w:tcPr>
            <w:tcW w:w="1134" w:type="dxa"/>
            <w:tcBorders>
              <w:top w:val="nil"/>
              <w:left w:val="nil"/>
              <w:bottom w:val="single" w:color="auto" w:sz="4" w:space="0"/>
              <w:right w:val="single" w:color="auto" w:sz="4" w:space="0"/>
            </w:tcBorders>
            <w:shd w:val="clear" w:color="auto" w:fill="auto"/>
            <w:noWrap w:val="0"/>
            <w:vAlign w:val="center"/>
          </w:tcPr>
          <w:p w14:paraId="4D6F9C9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bidi="ar-SA"/>
              </w:rPr>
            </w:pPr>
            <w:r>
              <w:rPr>
                <w:rFonts w:hint="default" w:ascii="Arial" w:hAnsi="Arial" w:eastAsia="仿宋_GB2312" w:cs="Arial"/>
                <w:color w:val="000000"/>
                <w:sz w:val="20"/>
                <w:szCs w:val="20"/>
              </w:rPr>
              <w:t>≤</w:t>
            </w:r>
            <w:r>
              <w:rPr>
                <w:rFonts w:hint="eastAsia" w:ascii="仿宋_GB2312" w:hAnsi="仿宋_GB2312" w:eastAsia="仿宋_GB2312" w:cs="仿宋_GB2312"/>
                <w:color w:val="000000"/>
                <w:sz w:val="20"/>
                <w:szCs w:val="20"/>
                <w:lang w:val="en-US" w:eastAsia="zh-CN"/>
              </w:rPr>
              <w:t>15天内</w:t>
            </w:r>
          </w:p>
        </w:tc>
        <w:tc>
          <w:tcPr>
            <w:tcW w:w="1134" w:type="dxa"/>
            <w:tcBorders>
              <w:top w:val="nil"/>
              <w:left w:val="nil"/>
              <w:bottom w:val="single" w:color="auto" w:sz="4" w:space="0"/>
              <w:right w:val="single" w:color="auto" w:sz="4" w:space="0"/>
            </w:tcBorders>
            <w:shd w:val="clear" w:color="auto" w:fill="auto"/>
            <w:noWrap w:val="0"/>
            <w:vAlign w:val="center"/>
          </w:tcPr>
          <w:p w14:paraId="62E0A96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bidi="ar-SA"/>
              </w:rPr>
            </w:pPr>
            <w:r>
              <w:rPr>
                <w:rFonts w:hint="default" w:ascii="Arial" w:hAnsi="Arial" w:eastAsia="仿宋_GB2312" w:cs="Arial"/>
                <w:color w:val="000000"/>
                <w:sz w:val="20"/>
                <w:szCs w:val="20"/>
              </w:rPr>
              <w:t>≤</w:t>
            </w:r>
            <w:r>
              <w:rPr>
                <w:rFonts w:hint="eastAsia" w:ascii="仿宋_GB2312" w:hAnsi="仿宋_GB2312" w:eastAsia="仿宋_GB2312" w:cs="仿宋_GB2312"/>
                <w:color w:val="000000"/>
                <w:sz w:val="20"/>
                <w:szCs w:val="20"/>
                <w:lang w:val="en-US" w:eastAsia="zh-CN"/>
              </w:rPr>
              <w:t>15天内</w:t>
            </w:r>
          </w:p>
        </w:tc>
        <w:tc>
          <w:tcPr>
            <w:tcW w:w="828" w:type="dxa"/>
            <w:tcBorders>
              <w:top w:val="nil"/>
              <w:left w:val="nil"/>
              <w:bottom w:val="single" w:color="auto" w:sz="4" w:space="0"/>
              <w:right w:val="single" w:color="auto" w:sz="4" w:space="0"/>
            </w:tcBorders>
            <w:shd w:val="clear" w:color="auto" w:fill="auto"/>
            <w:noWrap w:val="0"/>
            <w:vAlign w:val="center"/>
          </w:tcPr>
          <w:p w14:paraId="5773C08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shd w:val="clear" w:color="auto" w:fill="auto"/>
            <w:noWrap w:val="0"/>
            <w:vAlign w:val="center"/>
          </w:tcPr>
          <w:p w14:paraId="4690B20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1418" w:type="dxa"/>
            <w:tcBorders>
              <w:top w:val="nil"/>
              <w:left w:val="nil"/>
              <w:bottom w:val="single" w:color="auto" w:sz="4" w:space="0"/>
              <w:right w:val="single" w:color="auto" w:sz="4" w:space="0"/>
            </w:tcBorders>
            <w:noWrap w:val="0"/>
            <w:vAlign w:val="center"/>
          </w:tcPr>
          <w:p w14:paraId="0F41737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016945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690572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1080BB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76DA2B4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shd w:val="clear" w:color="auto" w:fill="auto"/>
            <w:noWrap w:val="0"/>
            <w:vAlign w:val="center"/>
          </w:tcPr>
          <w:p w14:paraId="3405DD50">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执法办案一般案件的结办时间</w:t>
            </w:r>
          </w:p>
          <w:p w14:paraId="7D487AEF">
            <w:pPr>
              <w:widowControl/>
              <w:spacing w:line="240" w:lineRule="exact"/>
              <w:jc w:val="center"/>
              <w:rPr>
                <w:rFonts w:hint="eastAsia" w:ascii="仿宋_GB2312" w:hAnsi="仿宋_GB2312" w:eastAsia="仿宋_GB2312" w:cs="仿宋_GB2312"/>
                <w:color w:val="000000"/>
                <w:kern w:val="0"/>
                <w:sz w:val="20"/>
                <w:szCs w:val="20"/>
                <w:lang w:val="en-US" w:eastAsia="zh-CN" w:bidi="ar-SA"/>
              </w:rPr>
            </w:pPr>
          </w:p>
        </w:tc>
        <w:tc>
          <w:tcPr>
            <w:tcW w:w="1134" w:type="dxa"/>
            <w:tcBorders>
              <w:top w:val="nil"/>
              <w:left w:val="nil"/>
              <w:bottom w:val="single" w:color="auto" w:sz="4" w:space="0"/>
              <w:right w:val="single" w:color="auto" w:sz="4" w:space="0"/>
            </w:tcBorders>
            <w:shd w:val="clear" w:color="auto" w:fill="auto"/>
            <w:noWrap w:val="0"/>
            <w:vAlign w:val="center"/>
          </w:tcPr>
          <w:p w14:paraId="3FA9EA32">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w:t>
            </w:r>
            <w:r>
              <w:rPr>
                <w:rFonts w:hint="default" w:ascii="仿宋_GB2312" w:hAnsi="仿宋_GB2312" w:eastAsia="仿宋_GB2312" w:cs="仿宋_GB2312"/>
                <w:color w:val="000000"/>
                <w:sz w:val="20"/>
                <w:szCs w:val="20"/>
                <w:lang w:val="en-US" w:eastAsia="zh-CN"/>
              </w:rPr>
              <w:t>90 天</w:t>
            </w:r>
          </w:p>
          <w:p w14:paraId="7A45BBC1">
            <w:pPr>
              <w:widowControl/>
              <w:spacing w:line="240" w:lineRule="exact"/>
              <w:jc w:val="center"/>
              <w:rPr>
                <w:rFonts w:hint="eastAsia" w:ascii="仿宋_GB2312" w:hAnsi="仿宋_GB2312" w:eastAsia="仿宋_GB2312" w:cs="仿宋_GB2312"/>
                <w:color w:val="000000"/>
                <w:kern w:val="0"/>
                <w:sz w:val="20"/>
                <w:szCs w:val="20"/>
                <w:lang w:val="en-US" w:eastAsia="zh-CN" w:bidi="ar-SA"/>
              </w:rPr>
            </w:pPr>
          </w:p>
        </w:tc>
        <w:tc>
          <w:tcPr>
            <w:tcW w:w="1134" w:type="dxa"/>
            <w:tcBorders>
              <w:top w:val="nil"/>
              <w:left w:val="nil"/>
              <w:bottom w:val="single" w:color="auto" w:sz="4" w:space="0"/>
              <w:right w:val="single" w:color="auto" w:sz="4" w:space="0"/>
            </w:tcBorders>
            <w:shd w:val="clear" w:color="auto" w:fill="auto"/>
            <w:noWrap w:val="0"/>
            <w:vAlign w:val="center"/>
          </w:tcPr>
          <w:p w14:paraId="600681A3">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w:t>
            </w:r>
            <w:r>
              <w:rPr>
                <w:rFonts w:hint="default" w:ascii="仿宋_GB2312" w:hAnsi="仿宋_GB2312" w:eastAsia="仿宋_GB2312" w:cs="仿宋_GB2312"/>
                <w:color w:val="000000"/>
                <w:sz w:val="20"/>
                <w:szCs w:val="20"/>
                <w:lang w:val="en-US" w:eastAsia="zh-CN"/>
              </w:rPr>
              <w:t>90 天</w:t>
            </w:r>
          </w:p>
          <w:p w14:paraId="1C149402">
            <w:pPr>
              <w:widowControl/>
              <w:spacing w:line="240" w:lineRule="exact"/>
              <w:jc w:val="center"/>
              <w:rPr>
                <w:rFonts w:hint="eastAsia" w:ascii="仿宋_GB2312" w:hAnsi="仿宋_GB2312" w:eastAsia="仿宋_GB2312" w:cs="仿宋_GB2312"/>
                <w:color w:val="000000"/>
                <w:kern w:val="0"/>
                <w:sz w:val="20"/>
                <w:szCs w:val="20"/>
                <w:lang w:val="en-US" w:eastAsia="zh-CN" w:bidi="ar-SA"/>
              </w:rPr>
            </w:pPr>
          </w:p>
        </w:tc>
        <w:tc>
          <w:tcPr>
            <w:tcW w:w="828" w:type="dxa"/>
            <w:tcBorders>
              <w:top w:val="nil"/>
              <w:left w:val="nil"/>
              <w:bottom w:val="single" w:color="auto" w:sz="4" w:space="0"/>
              <w:right w:val="single" w:color="auto" w:sz="4" w:space="0"/>
            </w:tcBorders>
            <w:shd w:val="clear" w:color="auto" w:fill="auto"/>
            <w:noWrap w:val="0"/>
            <w:vAlign w:val="center"/>
          </w:tcPr>
          <w:p w14:paraId="2D5D981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shd w:val="clear" w:color="auto" w:fill="auto"/>
            <w:noWrap w:val="0"/>
            <w:vAlign w:val="center"/>
          </w:tcPr>
          <w:p w14:paraId="21D4E06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1418" w:type="dxa"/>
            <w:tcBorders>
              <w:top w:val="nil"/>
              <w:left w:val="nil"/>
              <w:bottom w:val="single" w:color="auto" w:sz="4" w:space="0"/>
              <w:right w:val="single" w:color="auto" w:sz="4" w:space="0"/>
            </w:tcBorders>
            <w:noWrap w:val="0"/>
            <w:vAlign w:val="center"/>
          </w:tcPr>
          <w:p w14:paraId="41AAFBF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BAF833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C39E3F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50AD4B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40FDDF1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0F661A5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p>
        </w:tc>
        <w:tc>
          <w:tcPr>
            <w:tcW w:w="1134" w:type="dxa"/>
            <w:tcBorders>
              <w:top w:val="nil"/>
              <w:left w:val="nil"/>
              <w:bottom w:val="single" w:color="auto" w:sz="4" w:space="0"/>
              <w:right w:val="single" w:color="auto" w:sz="4" w:space="0"/>
            </w:tcBorders>
            <w:noWrap w:val="0"/>
            <w:vAlign w:val="center"/>
          </w:tcPr>
          <w:p w14:paraId="162AA60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1A5FD18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0E38906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2152933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092FC25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F70E62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1F0730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64A3FA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791B65A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nil"/>
              <w:left w:val="nil"/>
              <w:bottom w:val="single" w:color="auto" w:sz="4" w:space="0"/>
              <w:right w:val="single" w:color="auto" w:sz="4" w:space="0"/>
            </w:tcBorders>
            <w:noWrap w:val="0"/>
            <w:vAlign w:val="center"/>
          </w:tcPr>
          <w:p w14:paraId="1EFF7F1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支出控制在预算内</w:t>
            </w:r>
          </w:p>
        </w:tc>
        <w:tc>
          <w:tcPr>
            <w:tcW w:w="1134" w:type="dxa"/>
            <w:tcBorders>
              <w:top w:val="nil"/>
              <w:left w:val="nil"/>
              <w:bottom w:val="single" w:color="auto" w:sz="4" w:space="0"/>
              <w:right w:val="single" w:color="auto" w:sz="4" w:space="0"/>
            </w:tcBorders>
            <w:noWrap w:val="0"/>
            <w:vAlign w:val="center"/>
          </w:tcPr>
          <w:p w14:paraId="4029BC0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不超预算完成工作任务</w:t>
            </w:r>
          </w:p>
        </w:tc>
        <w:tc>
          <w:tcPr>
            <w:tcW w:w="1134" w:type="dxa"/>
            <w:tcBorders>
              <w:top w:val="nil"/>
              <w:left w:val="nil"/>
              <w:bottom w:val="single" w:color="auto" w:sz="4" w:space="0"/>
              <w:right w:val="single" w:color="auto" w:sz="4" w:space="0"/>
            </w:tcBorders>
            <w:noWrap w:val="0"/>
            <w:vAlign w:val="center"/>
          </w:tcPr>
          <w:p w14:paraId="4825FEE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控制在预算内</w:t>
            </w:r>
          </w:p>
        </w:tc>
        <w:tc>
          <w:tcPr>
            <w:tcW w:w="828" w:type="dxa"/>
            <w:tcBorders>
              <w:top w:val="nil"/>
              <w:left w:val="nil"/>
              <w:bottom w:val="single" w:color="auto" w:sz="4" w:space="0"/>
              <w:right w:val="single" w:color="auto" w:sz="4" w:space="0"/>
            </w:tcBorders>
            <w:noWrap w:val="0"/>
            <w:vAlign w:val="center"/>
          </w:tcPr>
          <w:p w14:paraId="5B5FB75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295CD78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0450B10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252819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E333D9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F38817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7E2968D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2FAE8B1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34" w:type="dxa"/>
            <w:tcBorders>
              <w:top w:val="nil"/>
              <w:left w:val="nil"/>
              <w:bottom w:val="single" w:color="auto" w:sz="4" w:space="0"/>
              <w:right w:val="single" w:color="auto" w:sz="4" w:space="0"/>
            </w:tcBorders>
            <w:noWrap w:val="0"/>
            <w:vAlign w:val="center"/>
          </w:tcPr>
          <w:p w14:paraId="7473F77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4AA20F9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4686905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6CC0468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7D06791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52FAC0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A26E6D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2915489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095ED2D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26BE82C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p>
        </w:tc>
        <w:tc>
          <w:tcPr>
            <w:tcW w:w="1134" w:type="dxa"/>
            <w:tcBorders>
              <w:top w:val="nil"/>
              <w:left w:val="nil"/>
              <w:bottom w:val="single" w:color="auto" w:sz="4" w:space="0"/>
              <w:right w:val="single" w:color="auto" w:sz="4" w:space="0"/>
            </w:tcBorders>
            <w:noWrap w:val="0"/>
            <w:vAlign w:val="center"/>
          </w:tcPr>
          <w:p w14:paraId="320B6FE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27FE384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5044F5A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7419086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2F016DC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8D0EAC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0A5ECE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39C35B1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0917000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14:paraId="0864EBC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637D15F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vMerge w:val="restart"/>
            <w:tcBorders>
              <w:top w:val="nil"/>
              <w:left w:val="nil"/>
              <w:right w:val="single" w:color="auto" w:sz="4" w:space="0"/>
            </w:tcBorders>
            <w:noWrap w:val="0"/>
            <w:vAlign w:val="center"/>
          </w:tcPr>
          <w:p w14:paraId="550A8A6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01A8728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35CF79B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促进市场经济发展</w:t>
            </w:r>
          </w:p>
        </w:tc>
        <w:tc>
          <w:tcPr>
            <w:tcW w:w="1134" w:type="dxa"/>
            <w:tcBorders>
              <w:top w:val="nil"/>
              <w:left w:val="nil"/>
              <w:bottom w:val="single" w:color="auto" w:sz="4" w:space="0"/>
              <w:right w:val="single" w:color="auto" w:sz="4" w:space="0"/>
            </w:tcBorders>
            <w:noWrap w:val="0"/>
            <w:vAlign w:val="center"/>
          </w:tcPr>
          <w:p w14:paraId="2A6946E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逐步提高</w:t>
            </w:r>
          </w:p>
        </w:tc>
        <w:tc>
          <w:tcPr>
            <w:tcW w:w="1134" w:type="dxa"/>
            <w:tcBorders>
              <w:top w:val="nil"/>
              <w:left w:val="nil"/>
              <w:bottom w:val="single" w:color="auto" w:sz="4" w:space="0"/>
              <w:right w:val="single" w:color="auto" w:sz="4" w:space="0"/>
            </w:tcBorders>
            <w:noWrap w:val="0"/>
            <w:vAlign w:val="center"/>
          </w:tcPr>
          <w:p w14:paraId="6765691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有所提高</w:t>
            </w:r>
          </w:p>
        </w:tc>
        <w:tc>
          <w:tcPr>
            <w:tcW w:w="828" w:type="dxa"/>
            <w:tcBorders>
              <w:top w:val="nil"/>
              <w:left w:val="nil"/>
              <w:bottom w:val="single" w:color="auto" w:sz="4" w:space="0"/>
              <w:right w:val="single" w:color="auto" w:sz="4" w:space="0"/>
            </w:tcBorders>
            <w:noWrap w:val="0"/>
            <w:vAlign w:val="center"/>
          </w:tcPr>
          <w:p w14:paraId="298CAA2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7E7E631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1418" w:type="dxa"/>
            <w:tcBorders>
              <w:top w:val="nil"/>
              <w:left w:val="nil"/>
              <w:bottom w:val="single" w:color="auto" w:sz="4" w:space="0"/>
              <w:right w:val="single" w:color="auto" w:sz="4" w:space="0"/>
            </w:tcBorders>
            <w:noWrap w:val="0"/>
            <w:vAlign w:val="center"/>
          </w:tcPr>
          <w:p w14:paraId="3A605AB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受疫情影响未达到预期</w:t>
            </w:r>
          </w:p>
        </w:tc>
      </w:tr>
      <w:tr w14:paraId="24A7CEF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0CC4E3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7C07198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7DB07F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4FD4B23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34" w:type="dxa"/>
            <w:tcBorders>
              <w:top w:val="nil"/>
              <w:left w:val="nil"/>
              <w:bottom w:val="single" w:color="auto" w:sz="4" w:space="0"/>
              <w:right w:val="single" w:color="auto" w:sz="4" w:space="0"/>
            </w:tcBorders>
            <w:noWrap w:val="0"/>
            <w:vAlign w:val="center"/>
          </w:tcPr>
          <w:p w14:paraId="76F592B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1C4981D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0107253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307B2A9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2F240E6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930469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9BFFF2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5FB6E0F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693F0EC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022C2F3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p>
        </w:tc>
        <w:tc>
          <w:tcPr>
            <w:tcW w:w="1134" w:type="dxa"/>
            <w:tcBorders>
              <w:top w:val="nil"/>
              <w:left w:val="nil"/>
              <w:bottom w:val="single" w:color="auto" w:sz="4" w:space="0"/>
              <w:right w:val="single" w:color="auto" w:sz="4" w:space="0"/>
            </w:tcBorders>
            <w:noWrap w:val="0"/>
            <w:vAlign w:val="center"/>
          </w:tcPr>
          <w:p w14:paraId="7257243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5D55A61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53F30E1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5C0D4D3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011A655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B8F1A8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CAD370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E49697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76CA550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5F88878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0A0A422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提高群众安全意识</w:t>
            </w:r>
          </w:p>
        </w:tc>
        <w:tc>
          <w:tcPr>
            <w:tcW w:w="1134" w:type="dxa"/>
            <w:tcBorders>
              <w:top w:val="nil"/>
              <w:left w:val="nil"/>
              <w:bottom w:val="single" w:color="auto" w:sz="4" w:space="0"/>
              <w:right w:val="single" w:color="auto" w:sz="4" w:space="0"/>
            </w:tcBorders>
            <w:noWrap w:val="0"/>
            <w:vAlign w:val="center"/>
          </w:tcPr>
          <w:p w14:paraId="5FADF91F">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逐步提高</w:t>
            </w:r>
          </w:p>
        </w:tc>
        <w:tc>
          <w:tcPr>
            <w:tcW w:w="1134" w:type="dxa"/>
            <w:tcBorders>
              <w:top w:val="nil"/>
              <w:left w:val="nil"/>
              <w:bottom w:val="single" w:color="auto" w:sz="4" w:space="0"/>
              <w:right w:val="single" w:color="auto" w:sz="4" w:space="0"/>
            </w:tcBorders>
            <w:noWrap w:val="0"/>
            <w:vAlign w:val="center"/>
          </w:tcPr>
          <w:p w14:paraId="0334CF4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　有所提高</w:t>
            </w:r>
          </w:p>
        </w:tc>
        <w:tc>
          <w:tcPr>
            <w:tcW w:w="828" w:type="dxa"/>
            <w:tcBorders>
              <w:top w:val="nil"/>
              <w:left w:val="nil"/>
              <w:bottom w:val="single" w:color="auto" w:sz="4" w:space="0"/>
              <w:right w:val="single" w:color="auto" w:sz="4" w:space="0"/>
            </w:tcBorders>
            <w:noWrap w:val="0"/>
            <w:vAlign w:val="center"/>
          </w:tcPr>
          <w:p w14:paraId="3BD348B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14:paraId="5A58162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4</w:t>
            </w:r>
          </w:p>
        </w:tc>
        <w:tc>
          <w:tcPr>
            <w:tcW w:w="1418" w:type="dxa"/>
            <w:tcBorders>
              <w:top w:val="nil"/>
              <w:left w:val="nil"/>
              <w:bottom w:val="single" w:color="auto" w:sz="4" w:space="0"/>
              <w:right w:val="single" w:color="auto" w:sz="4" w:space="0"/>
            </w:tcBorders>
            <w:noWrap w:val="0"/>
            <w:vAlign w:val="center"/>
          </w:tcPr>
          <w:p w14:paraId="55AEC0E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群众安全意识逐渐提高</w:t>
            </w:r>
          </w:p>
        </w:tc>
      </w:tr>
      <w:tr w14:paraId="0786804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AA4520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03C4ED6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CF82353">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47FEC7FF">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打击假冒伪劣、保护知识产权能力</w:t>
            </w:r>
          </w:p>
          <w:p w14:paraId="0728EE0D">
            <w:pPr>
              <w:widowControl/>
              <w:spacing w:line="240" w:lineRule="exact"/>
              <w:jc w:val="center"/>
              <w:rPr>
                <w:rFonts w:hint="eastAsia" w:ascii="仿宋_GB2312" w:hAnsi="仿宋_GB2312" w:eastAsia="仿宋_GB2312" w:cs="仿宋_GB2312"/>
                <w:color w:val="000000"/>
                <w:sz w:val="20"/>
                <w:szCs w:val="20"/>
                <w:highlight w:val="none"/>
              </w:rPr>
            </w:pPr>
          </w:p>
        </w:tc>
        <w:tc>
          <w:tcPr>
            <w:tcW w:w="1134" w:type="dxa"/>
            <w:tcBorders>
              <w:top w:val="nil"/>
              <w:left w:val="nil"/>
              <w:bottom w:val="single" w:color="auto" w:sz="4" w:space="0"/>
              <w:right w:val="single" w:color="auto" w:sz="4" w:space="0"/>
            </w:tcBorders>
            <w:noWrap w:val="0"/>
            <w:vAlign w:val="center"/>
          </w:tcPr>
          <w:p w14:paraId="1A5F611A">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持续提升</w:t>
            </w:r>
          </w:p>
        </w:tc>
        <w:tc>
          <w:tcPr>
            <w:tcW w:w="1134" w:type="dxa"/>
            <w:tcBorders>
              <w:top w:val="nil"/>
              <w:left w:val="nil"/>
              <w:bottom w:val="single" w:color="auto" w:sz="4" w:space="0"/>
              <w:right w:val="single" w:color="auto" w:sz="4" w:space="0"/>
            </w:tcBorders>
            <w:noWrap w:val="0"/>
            <w:vAlign w:val="center"/>
          </w:tcPr>
          <w:p w14:paraId="7D54417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持续提升</w:t>
            </w:r>
          </w:p>
        </w:tc>
        <w:tc>
          <w:tcPr>
            <w:tcW w:w="828" w:type="dxa"/>
            <w:tcBorders>
              <w:top w:val="nil"/>
              <w:left w:val="nil"/>
              <w:bottom w:val="single" w:color="auto" w:sz="4" w:space="0"/>
              <w:right w:val="single" w:color="auto" w:sz="4" w:space="0"/>
            </w:tcBorders>
            <w:noWrap w:val="0"/>
            <w:vAlign w:val="center"/>
          </w:tcPr>
          <w:p w14:paraId="28D06BF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14:paraId="618EC76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1418" w:type="dxa"/>
            <w:tcBorders>
              <w:top w:val="nil"/>
              <w:left w:val="nil"/>
              <w:bottom w:val="single" w:color="auto" w:sz="4" w:space="0"/>
              <w:right w:val="single" w:color="auto" w:sz="4" w:space="0"/>
            </w:tcBorders>
            <w:noWrap w:val="0"/>
            <w:vAlign w:val="center"/>
          </w:tcPr>
          <w:p w14:paraId="76C87F4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p>
        </w:tc>
      </w:tr>
      <w:tr w14:paraId="763D76A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5B33EE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7B67BBC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121CC66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41EB660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p>
        </w:tc>
        <w:tc>
          <w:tcPr>
            <w:tcW w:w="1134" w:type="dxa"/>
            <w:tcBorders>
              <w:top w:val="nil"/>
              <w:left w:val="nil"/>
              <w:bottom w:val="single" w:color="auto" w:sz="4" w:space="0"/>
              <w:right w:val="single" w:color="auto" w:sz="4" w:space="0"/>
            </w:tcBorders>
            <w:noWrap w:val="0"/>
            <w:vAlign w:val="center"/>
          </w:tcPr>
          <w:p w14:paraId="665483E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3FEEBF5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41265AA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5CC5FD3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02B797A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109E47E">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FBCB5E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F8170E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5D71F93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14:paraId="606D6E7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27D04FB4">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对生态环境造成的影响</w:t>
            </w:r>
          </w:p>
        </w:tc>
        <w:tc>
          <w:tcPr>
            <w:tcW w:w="1134" w:type="dxa"/>
            <w:tcBorders>
              <w:top w:val="nil"/>
              <w:left w:val="nil"/>
              <w:bottom w:val="single" w:color="auto" w:sz="4" w:space="0"/>
              <w:right w:val="single" w:color="auto" w:sz="4" w:space="0"/>
            </w:tcBorders>
            <w:noWrap w:val="0"/>
            <w:vAlign w:val="center"/>
          </w:tcPr>
          <w:p w14:paraId="36DF1D2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实现可持续发展</w:t>
            </w:r>
          </w:p>
        </w:tc>
        <w:tc>
          <w:tcPr>
            <w:tcW w:w="1134" w:type="dxa"/>
            <w:tcBorders>
              <w:top w:val="nil"/>
              <w:left w:val="nil"/>
              <w:bottom w:val="single" w:color="auto" w:sz="4" w:space="0"/>
              <w:right w:val="single" w:color="auto" w:sz="4" w:space="0"/>
            </w:tcBorders>
            <w:noWrap w:val="0"/>
            <w:vAlign w:val="center"/>
          </w:tcPr>
          <w:p w14:paraId="55FCBC7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无负面影响</w:t>
            </w:r>
          </w:p>
        </w:tc>
        <w:tc>
          <w:tcPr>
            <w:tcW w:w="828" w:type="dxa"/>
            <w:tcBorders>
              <w:top w:val="nil"/>
              <w:left w:val="nil"/>
              <w:bottom w:val="single" w:color="auto" w:sz="4" w:space="0"/>
              <w:right w:val="single" w:color="auto" w:sz="4" w:space="0"/>
            </w:tcBorders>
            <w:noWrap w:val="0"/>
            <w:vAlign w:val="center"/>
          </w:tcPr>
          <w:p w14:paraId="0E7EB8C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14:paraId="6D1E64E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1418" w:type="dxa"/>
            <w:tcBorders>
              <w:top w:val="nil"/>
              <w:left w:val="nil"/>
              <w:bottom w:val="single" w:color="auto" w:sz="4" w:space="0"/>
              <w:right w:val="single" w:color="auto" w:sz="4" w:space="0"/>
            </w:tcBorders>
            <w:noWrap w:val="0"/>
            <w:vAlign w:val="center"/>
          </w:tcPr>
          <w:p w14:paraId="22F8F4FE">
            <w:pPr>
              <w:widowControl/>
              <w:spacing w:line="240" w:lineRule="exact"/>
              <w:jc w:val="both"/>
              <w:rPr>
                <w:rFonts w:hint="eastAsia" w:ascii="仿宋_GB2312" w:hAnsi="仿宋_GB2312" w:eastAsia="仿宋_GB2312" w:cs="仿宋_GB2312"/>
                <w:color w:val="000000"/>
                <w:sz w:val="20"/>
                <w:szCs w:val="20"/>
                <w:highlight w:val="none"/>
              </w:rPr>
            </w:pPr>
          </w:p>
        </w:tc>
      </w:tr>
      <w:tr w14:paraId="770E96B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30E146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87A3C4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F35B0A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2C36CBB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34" w:type="dxa"/>
            <w:tcBorders>
              <w:top w:val="nil"/>
              <w:left w:val="nil"/>
              <w:bottom w:val="single" w:color="auto" w:sz="4" w:space="0"/>
              <w:right w:val="single" w:color="auto" w:sz="4" w:space="0"/>
            </w:tcBorders>
            <w:noWrap w:val="0"/>
            <w:vAlign w:val="center"/>
          </w:tcPr>
          <w:p w14:paraId="0762F96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6E9161A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2D9A2EA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23360B2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10243D1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FB9346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4B226E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C26EFC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6A7727A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5D26A42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p>
        </w:tc>
        <w:tc>
          <w:tcPr>
            <w:tcW w:w="1134" w:type="dxa"/>
            <w:tcBorders>
              <w:top w:val="nil"/>
              <w:left w:val="nil"/>
              <w:bottom w:val="single" w:color="auto" w:sz="4" w:space="0"/>
              <w:right w:val="single" w:color="auto" w:sz="4" w:space="0"/>
            </w:tcBorders>
            <w:noWrap w:val="0"/>
            <w:vAlign w:val="center"/>
          </w:tcPr>
          <w:p w14:paraId="518E7EE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57F3A36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2B19F25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32DCAAC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3EB346F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2AB322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F17DA5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7441323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right w:val="single" w:color="auto" w:sz="4" w:space="0"/>
            </w:tcBorders>
            <w:noWrap w:val="0"/>
            <w:vAlign w:val="center"/>
          </w:tcPr>
          <w:p w14:paraId="2136827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1865253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对企业发展的有效促进</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F7FFCCA">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持续提升</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E1BC7C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　有所提升</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6B05B04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7758A3B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384DC29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6114D8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39B047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64CB1B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14:paraId="717264A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nil"/>
              <w:bottom w:val="single" w:color="auto" w:sz="4" w:space="0"/>
              <w:right w:val="single" w:color="auto" w:sz="4" w:space="0"/>
            </w:tcBorders>
            <w:noWrap w:val="0"/>
            <w:vAlign w:val="center"/>
          </w:tcPr>
          <w:p w14:paraId="366E56AA">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本辖区食品、产品质量安全水平</w:t>
            </w:r>
          </w:p>
          <w:p w14:paraId="0662A6F7">
            <w:pPr>
              <w:widowControl/>
              <w:spacing w:line="240" w:lineRule="exact"/>
              <w:jc w:val="center"/>
              <w:rPr>
                <w:rFonts w:hint="eastAsia" w:ascii="仿宋_GB2312" w:hAnsi="仿宋_GB2312" w:eastAsia="仿宋_GB2312" w:cs="仿宋_GB2312"/>
                <w:color w:val="000000"/>
                <w:sz w:val="20"/>
                <w:szCs w:val="20"/>
                <w:highlight w:val="none"/>
              </w:rPr>
            </w:pPr>
          </w:p>
        </w:tc>
        <w:tc>
          <w:tcPr>
            <w:tcW w:w="1134" w:type="dxa"/>
            <w:tcBorders>
              <w:top w:val="single" w:color="auto" w:sz="4" w:space="0"/>
              <w:left w:val="nil"/>
              <w:bottom w:val="single" w:color="auto" w:sz="4" w:space="0"/>
              <w:right w:val="single" w:color="auto" w:sz="4" w:space="0"/>
            </w:tcBorders>
            <w:noWrap w:val="0"/>
            <w:vAlign w:val="center"/>
          </w:tcPr>
          <w:p w14:paraId="04966F8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持续提升</w:t>
            </w:r>
          </w:p>
        </w:tc>
        <w:tc>
          <w:tcPr>
            <w:tcW w:w="1134" w:type="dxa"/>
            <w:tcBorders>
              <w:top w:val="single" w:color="auto" w:sz="4" w:space="0"/>
              <w:left w:val="nil"/>
              <w:bottom w:val="single" w:color="auto" w:sz="4" w:space="0"/>
              <w:right w:val="single" w:color="auto" w:sz="4" w:space="0"/>
            </w:tcBorders>
            <w:noWrap w:val="0"/>
            <w:vAlign w:val="center"/>
          </w:tcPr>
          <w:p w14:paraId="32FE03F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　有所提升</w:t>
            </w:r>
          </w:p>
        </w:tc>
        <w:tc>
          <w:tcPr>
            <w:tcW w:w="828" w:type="dxa"/>
            <w:tcBorders>
              <w:top w:val="single" w:color="auto" w:sz="4" w:space="0"/>
              <w:left w:val="nil"/>
              <w:bottom w:val="single" w:color="auto" w:sz="4" w:space="0"/>
              <w:right w:val="single" w:color="auto" w:sz="4" w:space="0"/>
            </w:tcBorders>
            <w:noWrap w:val="0"/>
            <w:vAlign w:val="center"/>
          </w:tcPr>
          <w:p w14:paraId="5455761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nil"/>
              <w:bottom w:val="single" w:color="auto" w:sz="4" w:space="0"/>
              <w:right w:val="single" w:color="auto" w:sz="4" w:space="0"/>
            </w:tcBorders>
            <w:noWrap w:val="0"/>
            <w:vAlign w:val="center"/>
          </w:tcPr>
          <w:p w14:paraId="34B83B3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1418" w:type="dxa"/>
            <w:tcBorders>
              <w:top w:val="single" w:color="auto" w:sz="4" w:space="0"/>
              <w:left w:val="nil"/>
              <w:bottom w:val="single" w:color="auto" w:sz="4" w:space="0"/>
              <w:right w:val="single" w:color="auto" w:sz="4" w:space="0"/>
            </w:tcBorders>
            <w:noWrap w:val="0"/>
            <w:vAlign w:val="center"/>
          </w:tcPr>
          <w:p w14:paraId="6D5E42F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6C3F6C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74068A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43964EF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14:paraId="7AB7E59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7535E84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p>
        </w:tc>
        <w:tc>
          <w:tcPr>
            <w:tcW w:w="1134" w:type="dxa"/>
            <w:tcBorders>
              <w:top w:val="nil"/>
              <w:left w:val="nil"/>
              <w:bottom w:val="single" w:color="auto" w:sz="4" w:space="0"/>
              <w:right w:val="single" w:color="auto" w:sz="4" w:space="0"/>
            </w:tcBorders>
            <w:noWrap w:val="0"/>
            <w:vAlign w:val="center"/>
          </w:tcPr>
          <w:p w14:paraId="2A8964D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3925338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258970F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7833146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0C97860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696A2E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617790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2326B53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1EDE522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610A57A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vMerge w:val="restart"/>
            <w:tcBorders>
              <w:top w:val="nil"/>
              <w:left w:val="nil"/>
              <w:right w:val="single" w:color="auto" w:sz="4" w:space="0"/>
            </w:tcBorders>
            <w:noWrap w:val="0"/>
            <w:vAlign w:val="center"/>
          </w:tcPr>
          <w:p w14:paraId="5649D2A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14:paraId="1AB8887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监管相对人满意率</w:t>
            </w:r>
          </w:p>
        </w:tc>
        <w:tc>
          <w:tcPr>
            <w:tcW w:w="1134" w:type="dxa"/>
            <w:tcBorders>
              <w:top w:val="nil"/>
              <w:left w:val="nil"/>
              <w:bottom w:val="single" w:color="auto" w:sz="4" w:space="0"/>
              <w:right w:val="single" w:color="auto" w:sz="4" w:space="0"/>
            </w:tcBorders>
            <w:noWrap w:val="0"/>
            <w:vAlign w:val="center"/>
          </w:tcPr>
          <w:p w14:paraId="4CB6E714">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微软雅黑" w:hAnsi="微软雅黑" w:eastAsia="微软雅黑" w:cs="微软雅黑"/>
                <w:color w:val="000000"/>
                <w:sz w:val="20"/>
                <w:szCs w:val="20"/>
              </w:rPr>
              <w:t>≧</w:t>
            </w:r>
            <w:r>
              <w:rPr>
                <w:rFonts w:hAnsi="仿宋_GB2312"/>
                <w:sz w:val="20"/>
                <w:szCs w:val="20"/>
              </w:rPr>
              <w:t>9</w:t>
            </w:r>
            <w:r>
              <w:rPr>
                <w:rFonts w:hint="eastAsia" w:hAnsi="仿宋_GB2312"/>
                <w:sz w:val="20"/>
                <w:szCs w:val="20"/>
              </w:rPr>
              <w:t>5</w:t>
            </w:r>
            <w:r>
              <w:rPr>
                <w:rFonts w:hAnsi="仿宋_GB2312"/>
                <w:sz w:val="20"/>
                <w:szCs w:val="20"/>
              </w:rPr>
              <w:t>%</w:t>
            </w:r>
          </w:p>
        </w:tc>
        <w:tc>
          <w:tcPr>
            <w:tcW w:w="1134" w:type="dxa"/>
            <w:tcBorders>
              <w:top w:val="nil"/>
              <w:left w:val="nil"/>
              <w:bottom w:val="single" w:color="auto" w:sz="4" w:space="0"/>
              <w:right w:val="single" w:color="auto" w:sz="4" w:space="0"/>
            </w:tcBorders>
            <w:noWrap w:val="0"/>
            <w:vAlign w:val="center"/>
          </w:tcPr>
          <w:p w14:paraId="01E5569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微软雅黑" w:hAnsi="微软雅黑" w:eastAsia="微软雅黑" w:cs="微软雅黑"/>
                <w:color w:val="000000"/>
                <w:sz w:val="20"/>
                <w:szCs w:val="20"/>
              </w:rPr>
              <w:t>≧</w:t>
            </w:r>
            <w:r>
              <w:rPr>
                <w:rFonts w:hAnsi="仿宋_GB2312"/>
                <w:sz w:val="20"/>
                <w:szCs w:val="20"/>
              </w:rPr>
              <w:t>9</w:t>
            </w:r>
            <w:r>
              <w:rPr>
                <w:rFonts w:hint="eastAsia" w:hAnsi="仿宋_GB2312"/>
                <w:sz w:val="20"/>
                <w:szCs w:val="20"/>
              </w:rPr>
              <w:t>5</w:t>
            </w:r>
            <w:r>
              <w:rPr>
                <w:rFonts w:hAnsi="仿宋_GB2312"/>
                <w:sz w:val="20"/>
                <w:szCs w:val="20"/>
              </w:rPr>
              <w:t>%</w:t>
            </w:r>
          </w:p>
        </w:tc>
        <w:tc>
          <w:tcPr>
            <w:tcW w:w="828" w:type="dxa"/>
            <w:tcBorders>
              <w:top w:val="nil"/>
              <w:left w:val="nil"/>
              <w:bottom w:val="single" w:color="auto" w:sz="4" w:space="0"/>
              <w:right w:val="single" w:color="auto" w:sz="4" w:space="0"/>
            </w:tcBorders>
            <w:noWrap w:val="0"/>
            <w:vAlign w:val="center"/>
          </w:tcPr>
          <w:p w14:paraId="2AE975FE">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noWrap w:val="0"/>
            <w:vAlign w:val="center"/>
          </w:tcPr>
          <w:p w14:paraId="6051933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5</w:t>
            </w:r>
          </w:p>
        </w:tc>
        <w:tc>
          <w:tcPr>
            <w:tcW w:w="1418" w:type="dxa"/>
            <w:tcBorders>
              <w:top w:val="nil"/>
              <w:left w:val="nil"/>
              <w:bottom w:val="single" w:color="auto" w:sz="4" w:space="0"/>
              <w:right w:val="single" w:color="auto" w:sz="4" w:space="0"/>
            </w:tcBorders>
            <w:noWrap w:val="0"/>
            <w:vAlign w:val="center"/>
          </w:tcPr>
          <w:p w14:paraId="765D448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CC323D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C87CBB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B923EF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3F2E6CD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070417E4">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群众满意率</w:t>
            </w:r>
          </w:p>
        </w:tc>
        <w:tc>
          <w:tcPr>
            <w:tcW w:w="1134" w:type="dxa"/>
            <w:tcBorders>
              <w:top w:val="nil"/>
              <w:left w:val="nil"/>
              <w:bottom w:val="single" w:color="auto" w:sz="4" w:space="0"/>
              <w:right w:val="single" w:color="auto" w:sz="4" w:space="0"/>
            </w:tcBorders>
            <w:noWrap w:val="0"/>
            <w:vAlign w:val="center"/>
          </w:tcPr>
          <w:p w14:paraId="2DC16EA7">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微软雅黑" w:hAnsi="微软雅黑" w:eastAsia="微软雅黑" w:cs="微软雅黑"/>
                <w:color w:val="000000"/>
                <w:sz w:val="20"/>
                <w:szCs w:val="20"/>
              </w:rPr>
              <w:t>≧</w:t>
            </w:r>
            <w:r>
              <w:rPr>
                <w:rFonts w:hAnsi="仿宋_GB2312"/>
                <w:sz w:val="20"/>
                <w:szCs w:val="20"/>
              </w:rPr>
              <w:t>9</w:t>
            </w:r>
            <w:r>
              <w:rPr>
                <w:rFonts w:hint="eastAsia" w:hAnsi="仿宋_GB2312"/>
                <w:sz w:val="20"/>
                <w:szCs w:val="20"/>
              </w:rPr>
              <w:t>5</w:t>
            </w:r>
            <w:r>
              <w:rPr>
                <w:rFonts w:hAnsi="仿宋_GB2312"/>
                <w:sz w:val="20"/>
                <w:szCs w:val="20"/>
              </w:rPr>
              <w:t>%</w:t>
            </w:r>
          </w:p>
        </w:tc>
        <w:tc>
          <w:tcPr>
            <w:tcW w:w="1134" w:type="dxa"/>
            <w:tcBorders>
              <w:top w:val="nil"/>
              <w:left w:val="nil"/>
              <w:bottom w:val="single" w:color="auto" w:sz="4" w:space="0"/>
              <w:right w:val="single" w:color="auto" w:sz="4" w:space="0"/>
            </w:tcBorders>
            <w:noWrap w:val="0"/>
            <w:vAlign w:val="center"/>
          </w:tcPr>
          <w:p w14:paraId="2602262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微软雅黑" w:hAnsi="微软雅黑" w:eastAsia="微软雅黑" w:cs="微软雅黑"/>
                <w:color w:val="000000"/>
                <w:sz w:val="20"/>
                <w:szCs w:val="20"/>
              </w:rPr>
              <w:t>≧</w:t>
            </w:r>
            <w:r>
              <w:rPr>
                <w:rFonts w:hAnsi="仿宋_GB2312"/>
                <w:sz w:val="20"/>
                <w:szCs w:val="20"/>
              </w:rPr>
              <w:t>9</w:t>
            </w:r>
            <w:r>
              <w:rPr>
                <w:rFonts w:hint="eastAsia" w:hAnsi="仿宋_GB2312"/>
                <w:sz w:val="20"/>
                <w:szCs w:val="20"/>
              </w:rPr>
              <w:t>5</w:t>
            </w:r>
            <w:r>
              <w:rPr>
                <w:rFonts w:hAnsi="仿宋_GB2312"/>
                <w:sz w:val="20"/>
                <w:szCs w:val="20"/>
              </w:rPr>
              <w:t>%</w:t>
            </w:r>
          </w:p>
        </w:tc>
        <w:tc>
          <w:tcPr>
            <w:tcW w:w="828" w:type="dxa"/>
            <w:tcBorders>
              <w:top w:val="nil"/>
              <w:left w:val="nil"/>
              <w:bottom w:val="single" w:color="auto" w:sz="4" w:space="0"/>
              <w:right w:val="single" w:color="auto" w:sz="4" w:space="0"/>
            </w:tcBorders>
            <w:noWrap w:val="0"/>
            <w:vAlign w:val="center"/>
          </w:tcPr>
          <w:p w14:paraId="498E4C2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noWrap w:val="0"/>
            <w:vAlign w:val="center"/>
          </w:tcPr>
          <w:p w14:paraId="27F702A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5</w:t>
            </w:r>
          </w:p>
        </w:tc>
        <w:tc>
          <w:tcPr>
            <w:tcW w:w="1418" w:type="dxa"/>
            <w:tcBorders>
              <w:top w:val="nil"/>
              <w:left w:val="nil"/>
              <w:bottom w:val="single" w:color="auto" w:sz="4" w:space="0"/>
              <w:right w:val="single" w:color="auto" w:sz="4" w:space="0"/>
            </w:tcBorders>
            <w:noWrap w:val="0"/>
            <w:vAlign w:val="center"/>
          </w:tcPr>
          <w:p w14:paraId="7A8BF71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C9B1318">
        <w:trPr>
          <w:jc w:val="center"/>
        </w:trPr>
        <w:tc>
          <w:tcPr>
            <w:tcW w:w="1080" w:type="dxa"/>
            <w:vMerge w:val="continue"/>
            <w:tcBorders>
              <w:left w:val="single" w:color="auto" w:sz="4" w:space="0"/>
              <w:bottom w:val="single" w:color="auto" w:sz="4" w:space="0"/>
              <w:right w:val="single" w:color="auto" w:sz="4" w:space="0"/>
            </w:tcBorders>
            <w:noWrap w:val="0"/>
            <w:vAlign w:val="center"/>
          </w:tcPr>
          <w:p w14:paraId="23EF5E0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2FB4C63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14:paraId="3DDD88C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1FBC4FB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p>
        </w:tc>
        <w:tc>
          <w:tcPr>
            <w:tcW w:w="1134" w:type="dxa"/>
            <w:tcBorders>
              <w:top w:val="nil"/>
              <w:left w:val="nil"/>
              <w:bottom w:val="single" w:color="auto" w:sz="4" w:space="0"/>
              <w:right w:val="single" w:color="auto" w:sz="4" w:space="0"/>
            </w:tcBorders>
            <w:noWrap w:val="0"/>
            <w:vAlign w:val="center"/>
          </w:tcPr>
          <w:p w14:paraId="6A4C7D2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218EBFF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0F9246D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26C1A3C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45CA947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3B6A34D">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280A966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14:paraId="3A2CA6A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14:paraId="67F9A71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1418" w:type="dxa"/>
            <w:tcBorders>
              <w:top w:val="nil"/>
              <w:left w:val="nil"/>
              <w:bottom w:val="single" w:color="auto" w:sz="4" w:space="0"/>
              <w:right w:val="single" w:color="auto" w:sz="4" w:space="0"/>
            </w:tcBorders>
            <w:noWrap w:val="0"/>
            <w:vAlign w:val="center"/>
          </w:tcPr>
          <w:p w14:paraId="4138F9F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6407E35F">
      <w:pPr>
        <w:rPr>
          <w:rFonts w:hint="default" w:ascii="Times New Roman" w:hAnsi="Times New Roman" w:eastAsia="仿宋_GB2312" w:cs="Times New Roman"/>
          <w:sz w:val="18"/>
          <w:szCs w:val="18"/>
          <w:highlight w:val="none"/>
        </w:rPr>
      </w:pPr>
    </w:p>
    <w:p w14:paraId="0B1D11C7">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14:paraId="31B3E59B">
      <w:pPr>
        <w:rPr>
          <w:rFonts w:hint="eastAsia" w:ascii="Times New Roman" w:hAnsi="Times New Roman" w:eastAsia="仿宋_GB2312"/>
          <w:sz w:val="22"/>
          <w:lang w:val="en-US" w:eastAsia="zh-CN"/>
        </w:r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val="en-US" w:eastAsia="zh-CN"/>
        </w:rPr>
        <w:t>谢辉红</w:t>
      </w:r>
      <w:r>
        <w:rPr>
          <w:rFonts w:ascii="Times New Roman" w:hAnsi="Times New Roman" w:eastAsia="仿宋_GB2312"/>
          <w:sz w:val="22"/>
        </w:rPr>
        <w:t>报日期：</w:t>
      </w:r>
      <w:r>
        <w:rPr>
          <w:rFonts w:hint="eastAsia" w:ascii="Times New Roman" w:hAnsi="Times New Roman" w:eastAsia="仿宋_GB2312"/>
          <w:sz w:val="22"/>
          <w:lang w:val="en-US" w:eastAsia="zh-CN"/>
        </w:rPr>
        <w:t>2024.06.20</w:t>
      </w:r>
      <w:r>
        <w:rPr>
          <w:rFonts w:ascii="Times New Roman" w:hAnsi="Times New Roman" w:eastAsia="仿宋_GB2312"/>
          <w:sz w:val="22"/>
        </w:rPr>
        <w:t xml:space="preserve"> 联系电话：</w:t>
      </w:r>
      <w:r>
        <w:rPr>
          <w:rFonts w:hint="eastAsia" w:ascii="Times New Roman" w:hAnsi="Times New Roman" w:eastAsia="仿宋_GB2312"/>
          <w:sz w:val="22"/>
          <w:lang w:val="en-US" w:eastAsia="zh-CN"/>
        </w:rPr>
        <w:t>13575004315</w:t>
      </w:r>
      <w:r>
        <w:rPr>
          <w:rFonts w:ascii="Times New Roman" w:hAnsi="Times New Roman" w:eastAsia="仿宋_GB2312"/>
          <w:sz w:val="22"/>
        </w:rPr>
        <w:t xml:space="preserve"> 单位负责人签字：</w:t>
      </w:r>
      <w:r>
        <w:rPr>
          <w:rFonts w:hint="eastAsia" w:ascii="Times New Roman" w:hAnsi="Times New Roman" w:eastAsia="仿宋_GB2312"/>
          <w:sz w:val="22"/>
          <w:lang w:val="en-US" w:eastAsia="zh-CN"/>
        </w:rPr>
        <w:t>陈剑</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C53C4E"/>
    <w:multiLevelType w:val="singleLevel"/>
    <w:tmpl w:val="36C53C4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iMjMzN2ViZjY0MjY3MzljZmI3MzBhNDgzNTE0ZmUifQ=="/>
  </w:docVars>
  <w:rsids>
    <w:rsidRoot w:val="59886344"/>
    <w:rsid w:val="00035799"/>
    <w:rsid w:val="000D2F85"/>
    <w:rsid w:val="000F144A"/>
    <w:rsid w:val="001C2DD9"/>
    <w:rsid w:val="00272AD2"/>
    <w:rsid w:val="0034008A"/>
    <w:rsid w:val="00413F09"/>
    <w:rsid w:val="004C4CB5"/>
    <w:rsid w:val="005502AF"/>
    <w:rsid w:val="00886366"/>
    <w:rsid w:val="008B0326"/>
    <w:rsid w:val="008E0C09"/>
    <w:rsid w:val="009F2A63"/>
    <w:rsid w:val="00AB0BAF"/>
    <w:rsid w:val="00AD3C6D"/>
    <w:rsid w:val="00BA1567"/>
    <w:rsid w:val="00BC1424"/>
    <w:rsid w:val="00BF61F5"/>
    <w:rsid w:val="00C14ED8"/>
    <w:rsid w:val="00CE5867"/>
    <w:rsid w:val="00E44BA3"/>
    <w:rsid w:val="00EF68FE"/>
    <w:rsid w:val="00F32837"/>
    <w:rsid w:val="00F73462"/>
    <w:rsid w:val="00FD5DDE"/>
    <w:rsid w:val="03F756A8"/>
    <w:rsid w:val="05E02533"/>
    <w:rsid w:val="05F131A3"/>
    <w:rsid w:val="06C54CB0"/>
    <w:rsid w:val="075524D7"/>
    <w:rsid w:val="07C75183"/>
    <w:rsid w:val="07D72DF0"/>
    <w:rsid w:val="116A6B7F"/>
    <w:rsid w:val="127856FF"/>
    <w:rsid w:val="130B7EEE"/>
    <w:rsid w:val="133149E8"/>
    <w:rsid w:val="152754B3"/>
    <w:rsid w:val="171C091C"/>
    <w:rsid w:val="17936E30"/>
    <w:rsid w:val="18333E61"/>
    <w:rsid w:val="18583BD5"/>
    <w:rsid w:val="188E75F7"/>
    <w:rsid w:val="18A1557C"/>
    <w:rsid w:val="19470720"/>
    <w:rsid w:val="1C4E1577"/>
    <w:rsid w:val="1E3D7AF5"/>
    <w:rsid w:val="1FB71071"/>
    <w:rsid w:val="20623843"/>
    <w:rsid w:val="229121BE"/>
    <w:rsid w:val="24363358"/>
    <w:rsid w:val="27167136"/>
    <w:rsid w:val="2990287F"/>
    <w:rsid w:val="2A1F27A5"/>
    <w:rsid w:val="2A30050E"/>
    <w:rsid w:val="2DF20275"/>
    <w:rsid w:val="2E7342CD"/>
    <w:rsid w:val="2E8157DC"/>
    <w:rsid w:val="33042538"/>
    <w:rsid w:val="337F6063"/>
    <w:rsid w:val="34086058"/>
    <w:rsid w:val="34D83C7C"/>
    <w:rsid w:val="36AA33F6"/>
    <w:rsid w:val="37F94635"/>
    <w:rsid w:val="39755F3E"/>
    <w:rsid w:val="3C671BE9"/>
    <w:rsid w:val="3EA97509"/>
    <w:rsid w:val="3F3146B5"/>
    <w:rsid w:val="3FA419DF"/>
    <w:rsid w:val="41C11A95"/>
    <w:rsid w:val="42B31885"/>
    <w:rsid w:val="42C52E22"/>
    <w:rsid w:val="45A760C4"/>
    <w:rsid w:val="4CF06247"/>
    <w:rsid w:val="4E192EE4"/>
    <w:rsid w:val="4EDB1213"/>
    <w:rsid w:val="4FD25A40"/>
    <w:rsid w:val="51730B5D"/>
    <w:rsid w:val="52F932E4"/>
    <w:rsid w:val="53B0680E"/>
    <w:rsid w:val="55990DAE"/>
    <w:rsid w:val="56C105BC"/>
    <w:rsid w:val="56CD6F61"/>
    <w:rsid w:val="575E59B0"/>
    <w:rsid w:val="575F7373"/>
    <w:rsid w:val="57715B3F"/>
    <w:rsid w:val="57855A59"/>
    <w:rsid w:val="57E04A72"/>
    <w:rsid w:val="587B542F"/>
    <w:rsid w:val="58A13E1A"/>
    <w:rsid w:val="58FE3222"/>
    <w:rsid w:val="5979517E"/>
    <w:rsid w:val="59886344"/>
    <w:rsid w:val="61447E20"/>
    <w:rsid w:val="62832BCA"/>
    <w:rsid w:val="64CC0858"/>
    <w:rsid w:val="69D02B99"/>
    <w:rsid w:val="6ACE4BFE"/>
    <w:rsid w:val="6AD47BDE"/>
    <w:rsid w:val="6B19231D"/>
    <w:rsid w:val="6BAA566B"/>
    <w:rsid w:val="6D5802E7"/>
    <w:rsid w:val="712B2DAA"/>
    <w:rsid w:val="72CB03A1"/>
    <w:rsid w:val="73325CFD"/>
    <w:rsid w:val="74237D69"/>
    <w:rsid w:val="75DA08FB"/>
    <w:rsid w:val="768E1E11"/>
    <w:rsid w:val="78000AED"/>
    <w:rsid w:val="794E14FB"/>
    <w:rsid w:val="79F53F55"/>
    <w:rsid w:val="7A2D1941"/>
    <w:rsid w:val="7A722A55"/>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宋体" w:cs="Times New Roman"/>
      <w:sz w:val="28"/>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eastAsiaTheme="minorEastAsia" w:cstheme="minorBidi"/>
      <w:kern w:val="2"/>
      <w:sz w:val="24"/>
      <w:szCs w:val="21"/>
    </w:rPr>
  </w:style>
  <w:style w:type="paragraph" w:styleId="3">
    <w:name w:val="annotation text"/>
    <w:basedOn w:val="1"/>
    <w:link w:val="21"/>
    <w:qFormat/>
    <w:uiPriority w:val="0"/>
    <w:pPr>
      <w:jc w:val="left"/>
    </w:pPr>
  </w:style>
  <w:style w:type="paragraph" w:styleId="4">
    <w:name w:val="Body Text"/>
    <w:basedOn w:val="1"/>
    <w:semiHidden/>
    <w:qFormat/>
    <w:uiPriority w:val="0"/>
    <w:rPr>
      <w:rFonts w:eastAsia="仿宋" w:cs="仿宋"/>
      <w:sz w:val="31"/>
      <w:szCs w:val="31"/>
      <w:lang w:eastAsia="en-US"/>
    </w:rPr>
  </w:style>
  <w:style w:type="paragraph" w:styleId="5">
    <w:name w:val="Body Text Indent"/>
    <w:basedOn w:val="1"/>
    <w:qFormat/>
    <w:uiPriority w:val="0"/>
    <w:pPr>
      <w:spacing w:after="120"/>
      <w:ind w:left="420" w:leftChars="200"/>
    </w:pPr>
  </w:style>
  <w:style w:type="paragraph" w:styleId="6">
    <w:name w:val="Balloon Text"/>
    <w:basedOn w:val="1"/>
    <w:link w:val="23"/>
    <w:qFormat/>
    <w:uiPriority w:val="0"/>
    <w:rPr>
      <w:sz w:val="18"/>
      <w:szCs w:val="18"/>
    </w:rPr>
  </w:style>
  <w:style w:type="paragraph" w:styleId="7">
    <w:name w:val="footer"/>
    <w:basedOn w:val="1"/>
    <w:link w:val="19"/>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line="360" w:lineRule="auto"/>
      <w:jc w:val="left"/>
    </w:pPr>
    <w:rPr>
      <w:sz w:val="24"/>
    </w:rPr>
  </w:style>
  <w:style w:type="paragraph" w:styleId="10">
    <w:name w:val="annotation subject"/>
    <w:basedOn w:val="3"/>
    <w:next w:val="3"/>
    <w:link w:val="22"/>
    <w:qFormat/>
    <w:uiPriority w:val="0"/>
    <w:rPr>
      <w:b/>
      <w:bCs/>
    </w:rPr>
  </w:style>
  <w:style w:type="paragraph" w:styleId="11">
    <w:name w:val="Body Text First Indent 2"/>
    <w:basedOn w:val="5"/>
    <w:qFormat/>
    <w:uiPriority w:val="0"/>
    <w:pPr>
      <w:ind w:firstLine="420" w:firstLineChars="200"/>
    </w:pPr>
  </w:style>
  <w:style w:type="character" w:styleId="14">
    <w:name w:val="annotation reference"/>
    <w:basedOn w:val="13"/>
    <w:qFormat/>
    <w:uiPriority w:val="0"/>
    <w:rPr>
      <w:sz w:val="21"/>
      <w:szCs w:val="21"/>
    </w:rPr>
  </w:style>
  <w:style w:type="paragraph" w:customStyle="1" w:styleId="15">
    <w:name w:val="样式2"/>
    <w:basedOn w:val="1"/>
    <w:qFormat/>
    <w:uiPriority w:val="0"/>
    <w:pPr>
      <w:widowControl/>
      <w:shd w:val="clear" w:color="auto" w:fill="FFFFFF"/>
      <w:spacing w:before="100" w:beforeAutospacing="1" w:after="100" w:afterAutospacing="1"/>
      <w:ind w:left="562"/>
      <w:jc w:val="center"/>
    </w:pPr>
    <w:rPr>
      <w:rFonts w:ascii="宋体" w:hAnsi="宋体"/>
      <w:b/>
      <w:bCs/>
      <w:szCs w:val="21"/>
    </w:rPr>
  </w:style>
  <w:style w:type="paragraph" w:customStyle="1" w:styleId="16">
    <w:name w:val="列出段落1"/>
    <w:basedOn w:val="1"/>
    <w:qFormat/>
    <w:uiPriority w:val="34"/>
    <w:pPr>
      <w:ind w:firstLine="420" w:firstLineChars="200"/>
    </w:pPr>
  </w:style>
  <w:style w:type="paragraph" w:styleId="17">
    <w:name w:val="List Paragraph"/>
    <w:basedOn w:val="1"/>
    <w:qFormat/>
    <w:uiPriority w:val="34"/>
    <w:pPr>
      <w:ind w:firstLine="420" w:firstLineChars="200"/>
    </w:pPr>
    <w:rPr>
      <w:rFonts w:ascii="Calibri" w:hAnsi="Calibri"/>
      <w:szCs w:val="22"/>
    </w:rPr>
  </w:style>
  <w:style w:type="character" w:customStyle="1" w:styleId="18">
    <w:name w:val="页眉 字符"/>
    <w:basedOn w:val="13"/>
    <w:link w:val="8"/>
    <w:qFormat/>
    <w:uiPriority w:val="0"/>
    <w:rPr>
      <w:rFonts w:ascii="仿宋" w:hAnsi="仿宋" w:eastAsia="宋体" w:cs="Times New Roman"/>
      <w:sz w:val="18"/>
      <w:szCs w:val="18"/>
    </w:rPr>
  </w:style>
  <w:style w:type="character" w:customStyle="1" w:styleId="19">
    <w:name w:val="页脚 字符"/>
    <w:basedOn w:val="13"/>
    <w:link w:val="7"/>
    <w:qFormat/>
    <w:uiPriority w:val="0"/>
    <w:rPr>
      <w:rFonts w:ascii="仿宋" w:hAnsi="仿宋" w:eastAsia="宋体" w:cs="Times New Roman"/>
      <w:sz w:val="18"/>
      <w:szCs w:val="18"/>
    </w:rPr>
  </w:style>
  <w:style w:type="character" w:customStyle="1" w:styleId="20">
    <w:name w:val="font31"/>
    <w:basedOn w:val="13"/>
    <w:qFormat/>
    <w:uiPriority w:val="0"/>
    <w:rPr>
      <w:rFonts w:hint="eastAsia" w:ascii="仿宋_GB2312" w:eastAsia="仿宋_GB2312" w:cs="仿宋_GB2312"/>
      <w:color w:val="000000"/>
      <w:sz w:val="22"/>
      <w:szCs w:val="22"/>
      <w:u w:val="none"/>
    </w:rPr>
  </w:style>
  <w:style w:type="character" w:customStyle="1" w:styleId="21">
    <w:name w:val="批注文字 字符"/>
    <w:basedOn w:val="13"/>
    <w:link w:val="3"/>
    <w:qFormat/>
    <w:uiPriority w:val="0"/>
    <w:rPr>
      <w:rFonts w:ascii="仿宋" w:hAnsi="仿宋" w:eastAsia="宋体" w:cs="Times New Roman"/>
      <w:sz w:val="28"/>
      <w:szCs w:val="24"/>
    </w:rPr>
  </w:style>
  <w:style w:type="character" w:customStyle="1" w:styleId="22">
    <w:name w:val="批注主题 字符"/>
    <w:basedOn w:val="21"/>
    <w:link w:val="10"/>
    <w:qFormat/>
    <w:uiPriority w:val="0"/>
    <w:rPr>
      <w:rFonts w:ascii="仿宋" w:hAnsi="仿宋" w:eastAsia="宋体" w:cs="Times New Roman"/>
      <w:b/>
      <w:bCs/>
      <w:sz w:val="28"/>
      <w:szCs w:val="24"/>
    </w:rPr>
  </w:style>
  <w:style w:type="character" w:customStyle="1" w:styleId="23">
    <w:name w:val="批注框文本 字符"/>
    <w:basedOn w:val="13"/>
    <w:link w:val="6"/>
    <w:qFormat/>
    <w:uiPriority w:val="0"/>
    <w:rPr>
      <w:rFonts w:ascii="仿宋" w:hAnsi="仿宋"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8395</Words>
  <Characters>9096</Characters>
  <Lines>65</Lines>
  <Paragraphs>18</Paragraphs>
  <TotalTime>0</TotalTime>
  <ScaleCrop>false</ScaleCrop>
  <LinksUpToDate>false</LinksUpToDate>
  <CharactersWithSpaces>9343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2024-06-13T07:13:00Z</dcterms:created>
  <dc:creator>Administrator</dc:creator>
  <cp:lastModifiedBy>谢辉红</cp:lastModifiedBy>
  <cp:lastPrinted>2024-06-24T08:53:00Z</cp:lastPrinted>
  <dcterms:modified xsi:type="dcterms:W3CDTF">2024-09-19T07:54:56Z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B2F74A9F382148E98A767067647FDCA6_13</vt:lpwstr>
  </property>
</Properties>
</file>