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86AEF">
      <w:pPr>
        <w:pStyle w:val="14"/>
        <w:jc w:val="center"/>
        <w:rPr>
          <w:sz w:val="56"/>
          <w:szCs w:val="56"/>
        </w:rPr>
      </w:pPr>
    </w:p>
    <w:p w14:paraId="2B06F308">
      <w:pPr>
        <w:pStyle w:val="14"/>
        <w:jc w:val="center"/>
        <w:rPr>
          <w:sz w:val="56"/>
          <w:szCs w:val="56"/>
        </w:rPr>
      </w:pPr>
    </w:p>
    <w:p w14:paraId="3D0A4502">
      <w:pPr>
        <w:pStyle w:val="14"/>
        <w:jc w:val="center"/>
        <w:rPr>
          <w:sz w:val="84"/>
          <w:szCs w:val="84"/>
        </w:rPr>
      </w:pPr>
    </w:p>
    <w:p w14:paraId="3D0DB5DE">
      <w:pPr>
        <w:pStyle w:val="14"/>
        <w:jc w:val="center"/>
        <w:rPr>
          <w:sz w:val="84"/>
          <w:szCs w:val="84"/>
        </w:rPr>
      </w:pPr>
    </w:p>
    <w:p w14:paraId="0A43DDCB">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5EBCD87A">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岳阳市市场监督管理局城陵矶新港区分局部门决算</w:t>
      </w:r>
    </w:p>
    <w:p w14:paraId="0D9150C9">
      <w:pPr>
        <w:pStyle w:val="14"/>
        <w:jc w:val="center"/>
        <w:rPr>
          <w:rFonts w:hint="eastAsia" w:ascii="方正小标宋_GBK" w:hAnsi="方正小标宋_GBK" w:eastAsia="方正小标宋_GBK" w:cs="方正小标宋_GBK"/>
          <w:sz w:val="56"/>
          <w:szCs w:val="56"/>
        </w:rPr>
      </w:pPr>
    </w:p>
    <w:p w14:paraId="7426F04C">
      <w:pPr>
        <w:pStyle w:val="14"/>
        <w:jc w:val="center"/>
        <w:rPr>
          <w:sz w:val="56"/>
          <w:szCs w:val="56"/>
        </w:rPr>
      </w:pPr>
    </w:p>
    <w:p w14:paraId="34E4F03B">
      <w:pPr>
        <w:pStyle w:val="14"/>
        <w:jc w:val="center"/>
        <w:rPr>
          <w:sz w:val="56"/>
          <w:szCs w:val="56"/>
        </w:rPr>
      </w:pPr>
    </w:p>
    <w:p w14:paraId="3F26222E">
      <w:pPr>
        <w:pStyle w:val="14"/>
        <w:jc w:val="center"/>
        <w:rPr>
          <w:sz w:val="56"/>
          <w:szCs w:val="56"/>
        </w:rPr>
      </w:pPr>
    </w:p>
    <w:p w14:paraId="1CBFB98B">
      <w:pPr>
        <w:pStyle w:val="14"/>
        <w:jc w:val="center"/>
        <w:rPr>
          <w:sz w:val="32"/>
          <w:szCs w:val="32"/>
        </w:rPr>
      </w:pPr>
    </w:p>
    <w:p w14:paraId="566A0D3B">
      <w:pPr>
        <w:pStyle w:val="14"/>
        <w:jc w:val="center"/>
        <w:rPr>
          <w:sz w:val="32"/>
          <w:szCs w:val="32"/>
        </w:rPr>
      </w:pPr>
    </w:p>
    <w:p w14:paraId="23CEFC0F">
      <w:pPr>
        <w:pStyle w:val="14"/>
        <w:jc w:val="center"/>
        <w:rPr>
          <w:sz w:val="32"/>
          <w:szCs w:val="32"/>
        </w:rPr>
      </w:pPr>
    </w:p>
    <w:p w14:paraId="2FFFE605">
      <w:pPr>
        <w:pStyle w:val="14"/>
        <w:jc w:val="center"/>
        <w:rPr>
          <w:sz w:val="32"/>
          <w:szCs w:val="32"/>
        </w:rPr>
      </w:pPr>
    </w:p>
    <w:p w14:paraId="5B069B58">
      <w:pPr>
        <w:pStyle w:val="14"/>
        <w:jc w:val="center"/>
        <w:rPr>
          <w:sz w:val="32"/>
          <w:szCs w:val="32"/>
        </w:rPr>
      </w:pPr>
    </w:p>
    <w:p w14:paraId="7E500125">
      <w:pPr>
        <w:pStyle w:val="14"/>
        <w:spacing w:line="540" w:lineRule="exact"/>
        <w:jc w:val="center"/>
        <w:rPr>
          <w:sz w:val="56"/>
          <w:szCs w:val="56"/>
        </w:rPr>
      </w:pPr>
    </w:p>
    <w:p w14:paraId="73D6C141">
      <w:pPr>
        <w:pStyle w:val="14"/>
        <w:spacing w:line="500" w:lineRule="exact"/>
        <w:jc w:val="both"/>
        <w:rPr>
          <w:b/>
          <w:sz w:val="36"/>
          <w:szCs w:val="28"/>
        </w:rPr>
      </w:pPr>
    </w:p>
    <w:p w14:paraId="64B566EE">
      <w:pPr>
        <w:pStyle w:val="14"/>
        <w:spacing w:line="500" w:lineRule="exact"/>
        <w:jc w:val="center"/>
        <w:rPr>
          <w:b/>
          <w:sz w:val="36"/>
          <w:szCs w:val="28"/>
        </w:rPr>
      </w:pPr>
      <w:r>
        <w:rPr>
          <w:rFonts w:hint="eastAsia"/>
          <w:b/>
          <w:sz w:val="36"/>
          <w:szCs w:val="28"/>
        </w:rPr>
        <w:t>目录</w:t>
      </w:r>
    </w:p>
    <w:p w14:paraId="121756B6">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岳阳市市场监督管理局城陵矶新港区分局单位</w:t>
      </w:r>
      <w:r>
        <w:rPr>
          <w:rFonts w:hint="eastAsia" w:ascii="黑体" w:hAnsi="黑体" w:eastAsia="黑体" w:cs="黑体"/>
          <w:b w:val="0"/>
          <w:bCs/>
          <w:sz w:val="28"/>
          <w:szCs w:val="28"/>
        </w:rPr>
        <w:t>概况</w:t>
      </w:r>
    </w:p>
    <w:p w14:paraId="6AB64772">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3219827">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5E04FC37">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51FA240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925055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7750613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967E10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E4CC15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EB861C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1E2BDD0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A9321F9">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4CAE1F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500DF4FA">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0871892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059F637E">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7C946F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02CAC4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5577008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38478EE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55F21F2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4311A88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3D015C9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5278B16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850FDC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5C8E822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AB1819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7F41594E">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690C42D1">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0CFE8AEC">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0C1389F8">
      <w:pPr>
        <w:pStyle w:val="14"/>
        <w:jc w:val="center"/>
        <w:rPr>
          <w:rFonts w:hint="eastAsia" w:ascii="方正小标宋_GBK" w:hAnsi="方正小标宋_GBK" w:eastAsia="方正小标宋_GBK" w:cs="方正小标宋_GBK"/>
          <w:sz w:val="84"/>
          <w:szCs w:val="84"/>
        </w:rPr>
      </w:pPr>
    </w:p>
    <w:p w14:paraId="40747229">
      <w:pPr>
        <w:pStyle w:val="14"/>
        <w:jc w:val="center"/>
        <w:rPr>
          <w:rFonts w:hint="eastAsia" w:ascii="方正小标宋_GBK" w:hAnsi="方正小标宋_GBK" w:eastAsia="方正小标宋_GBK" w:cs="方正小标宋_GBK"/>
          <w:sz w:val="84"/>
          <w:szCs w:val="84"/>
        </w:rPr>
      </w:pPr>
    </w:p>
    <w:p w14:paraId="3624AFA8">
      <w:pPr>
        <w:pStyle w:val="14"/>
        <w:jc w:val="center"/>
        <w:rPr>
          <w:rFonts w:hint="eastAsia" w:ascii="方正小标宋_GBK" w:hAnsi="方正小标宋_GBK" w:eastAsia="方正小标宋_GBK" w:cs="方正小标宋_GBK"/>
          <w:sz w:val="84"/>
          <w:szCs w:val="84"/>
        </w:rPr>
      </w:pPr>
    </w:p>
    <w:p w14:paraId="5A4488D4">
      <w:pPr>
        <w:pStyle w:val="14"/>
        <w:jc w:val="center"/>
        <w:rPr>
          <w:rFonts w:hint="eastAsia" w:ascii="方正小标宋_GBK" w:hAnsi="方正小标宋_GBK" w:eastAsia="方正小标宋_GBK" w:cs="方正小标宋_GBK"/>
          <w:sz w:val="84"/>
          <w:szCs w:val="84"/>
        </w:rPr>
      </w:pPr>
    </w:p>
    <w:p w14:paraId="5064A4E3">
      <w:pPr>
        <w:pStyle w:val="14"/>
        <w:jc w:val="center"/>
        <w:rPr>
          <w:rFonts w:hint="eastAsia" w:ascii="方正小标宋_GBK" w:hAnsi="方正小标宋_GBK" w:eastAsia="方正小标宋_GBK" w:cs="方正小标宋_GBK"/>
          <w:sz w:val="84"/>
          <w:szCs w:val="84"/>
        </w:rPr>
      </w:pPr>
    </w:p>
    <w:p w14:paraId="1CAD8F3D">
      <w:pPr>
        <w:pStyle w:val="14"/>
        <w:jc w:val="center"/>
        <w:rPr>
          <w:rFonts w:hint="eastAsia" w:ascii="方正小标宋_GBK" w:hAnsi="方正小标宋_GBK" w:eastAsia="方正小标宋_GBK" w:cs="方正小标宋_GBK"/>
          <w:sz w:val="84"/>
          <w:szCs w:val="84"/>
        </w:rPr>
      </w:pPr>
    </w:p>
    <w:p w14:paraId="4E684C16">
      <w:pPr>
        <w:pStyle w:val="14"/>
        <w:jc w:val="center"/>
        <w:rPr>
          <w:rFonts w:hint="eastAsia" w:ascii="方正小标宋_GBK" w:hAnsi="方正小标宋_GBK" w:eastAsia="方正小标宋_GBK" w:cs="方正小标宋_GBK"/>
          <w:sz w:val="84"/>
          <w:szCs w:val="84"/>
        </w:rPr>
      </w:pPr>
    </w:p>
    <w:p w14:paraId="32944569">
      <w:pPr>
        <w:pStyle w:val="14"/>
        <w:jc w:val="center"/>
        <w:rPr>
          <w:rFonts w:hint="eastAsia" w:ascii="方正小标宋_GBK" w:hAnsi="方正小标宋_GBK" w:eastAsia="方正小标宋_GBK" w:cs="方正小标宋_GBK"/>
          <w:sz w:val="84"/>
          <w:szCs w:val="84"/>
        </w:rPr>
      </w:pPr>
    </w:p>
    <w:p w14:paraId="7C090CCB">
      <w:pPr>
        <w:pStyle w:val="14"/>
        <w:jc w:val="center"/>
        <w:rPr>
          <w:rFonts w:hint="eastAsia" w:ascii="方正小标宋_GBK" w:hAnsi="方正小标宋_GBK" w:eastAsia="方正小标宋_GBK" w:cs="方正小标宋_GBK"/>
          <w:sz w:val="84"/>
          <w:szCs w:val="84"/>
        </w:rPr>
      </w:pPr>
    </w:p>
    <w:p w14:paraId="279224C2">
      <w:pPr>
        <w:pStyle w:val="14"/>
        <w:jc w:val="center"/>
        <w:rPr>
          <w:rFonts w:hint="eastAsia" w:ascii="方正小标宋_GBK" w:hAnsi="方正小标宋_GBK" w:eastAsia="方正小标宋_GBK" w:cs="方正小标宋_GBK"/>
          <w:sz w:val="84"/>
          <w:szCs w:val="84"/>
        </w:rPr>
      </w:pPr>
    </w:p>
    <w:p w14:paraId="1B578899">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1C035B71">
      <w:pPr>
        <w:pStyle w:val="14"/>
        <w:jc w:val="center"/>
        <w:rPr>
          <w:rFonts w:hint="eastAsia" w:ascii="方正小标宋_GBK" w:hAnsi="方正小标宋_GBK" w:eastAsia="方正小标宋_GBK" w:cs="方正小标宋_GBK"/>
          <w:sz w:val="84"/>
          <w:szCs w:val="84"/>
        </w:rPr>
      </w:pPr>
    </w:p>
    <w:p w14:paraId="63698B2E">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岳阳市市场监督管理局城陵矶新港区分局</w:t>
      </w: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概况</w:t>
      </w:r>
    </w:p>
    <w:p w14:paraId="1A17F03A">
      <w:pPr>
        <w:pStyle w:val="8"/>
        <w:rPr>
          <w:rFonts w:hint="eastAsia" w:ascii="方正小标宋_GBK" w:hAnsi="方正小标宋_GBK" w:eastAsia="方正小标宋_GBK" w:cs="方正小标宋_GBK"/>
          <w:sz w:val="84"/>
          <w:szCs w:val="84"/>
        </w:rPr>
      </w:pPr>
    </w:p>
    <w:p w14:paraId="1A22EE7D">
      <w:pPr>
        <w:pStyle w:val="4"/>
        <w:rPr>
          <w:rFonts w:hint="eastAsia" w:ascii="方正小标宋_GBK" w:hAnsi="方正小标宋_GBK" w:eastAsia="方正小标宋_GBK" w:cs="方正小标宋_GBK"/>
          <w:sz w:val="84"/>
          <w:szCs w:val="84"/>
        </w:rPr>
      </w:pPr>
    </w:p>
    <w:p w14:paraId="5ADC351D">
      <w:pPr>
        <w:rPr>
          <w:rFonts w:hint="eastAsia" w:ascii="方正小标宋_GBK" w:hAnsi="方正小标宋_GBK" w:eastAsia="方正小标宋_GBK" w:cs="方正小标宋_GBK"/>
          <w:sz w:val="84"/>
          <w:szCs w:val="84"/>
        </w:rPr>
      </w:pPr>
    </w:p>
    <w:p w14:paraId="7C0EFE2D">
      <w:pPr>
        <w:pStyle w:val="4"/>
        <w:ind w:left="0" w:leftChars="0" w:firstLine="0" w:firstLineChars="0"/>
        <w:rPr>
          <w:rFonts w:hint="eastAsia" w:ascii="方正小标宋_GBK" w:hAnsi="方正小标宋_GBK" w:eastAsia="方正小标宋_GBK" w:cs="方正小标宋_GBK"/>
          <w:sz w:val="84"/>
          <w:szCs w:val="84"/>
        </w:rPr>
      </w:pPr>
    </w:p>
    <w:p w14:paraId="03BC9278">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6027F82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负责市场综合监督管理。贯彻执行国家市场监督管理的方针、政策和法律法规规章，组织实施质量强区、食品安全、标准化和知识产权等战略，拟订并组织实施有关规划，规范和维护市场秩序，营造诚实守信、公平竞争的市场环境。</w:t>
      </w:r>
    </w:p>
    <w:p w14:paraId="02271E3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负责市场主体统一登记注册工作。负责新港区各类企业、农民专业合作社和从事经营活动的单位、个体工商户等市场主体的登记注册工作。建立市场主体信息公示和共享机制，依法公示和共享有关信息，加强信用监管，推动市场主体信用体系建设。</w:t>
      </w:r>
    </w:p>
    <w:p w14:paraId="7E6F30A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（三）负责组织指导市场监管综合执法工作。完善全区市场监管综合执法队伍整合和建设，推动实行统一的市场监管。组织查处违法案件。规范市场监管行政执法行为。</w:t>
      </w:r>
    </w:p>
    <w:p w14:paraId="4D08B68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 依委托开展反垄断统一执法调查工作。依委托协助开展垄断协议、滥用市场支配地位和滥用行政权力排除、限制竞争等反垄断执法调查工作。</w:t>
      </w:r>
    </w:p>
    <w:p w14:paraId="4442E02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负责监督管理市场秩序。依法监督管理市场交易、网络商品交易及有关服务的行为。组织指导查处价格收费违法违规、不正当竞争、违法直销、传销、侵犯商标专利知识产权和制售假冒伪劣行为。依法实施合同、拍卖行为的监督管理，管理动产抵押物登记。指导广告业的发展，监督管理广告活动。承担依法查处无照生产经营和相关无证生产经营行为。</w:t>
      </w:r>
    </w:p>
    <w:p w14:paraId="37B18BB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负责宏观质量管理。贯彻国家、省、市质量发展的有关政策，拟订推进质量发展战略的政策措施并组织实施，对新港区质量管理工作进行宏观指导。组织实施质量奖励制度，积极推进质量强区战略和品牌建设，推动建立产品质量诚信制度；负责政府质量工作考核；组织实施产品和服务质量提升、开展服务质量监测；按规定权限组织对产品质量事故调查，配合实施缺陷产品召回制度，监督管理产品防伪工作。</w:t>
      </w:r>
    </w:p>
    <w:p w14:paraId="0A98581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（七）负责产品质量安全监督管理。负责产品质量安全监督抽查和风险监控工作，组织实施质量分级制度、质量安全追溯制度。负责工业产品生产许可管理。负责纤维质量监督检验工作。</w:t>
      </w:r>
    </w:p>
    <w:p w14:paraId="5E4447B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14:paraId="3FBC5F9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（九）负责城陵矶新港区食品安全监督管理综合协调。负责食品安全应急体系建设，组织食品安全事件应急处置和调查处理工作。落实食品安全重要信息直报制度。</w:t>
      </w:r>
    </w:p>
    <w:p w14:paraId="619478F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负责城陵矶新港区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开展特殊食品监督管理。负责食盐专营管理和食盐安全监督管理。</w:t>
      </w:r>
    </w:p>
    <w:p w14:paraId="49EA15B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（十一）负责统一管理计量工作。推行国家法定计量单位，执行国家计量制度，依职权管理计量器具及量值传递和比对工作。规范、监督商品量和市场计量行为。</w:t>
      </w:r>
    </w:p>
    <w:p w14:paraId="3591E42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负责统一管理标准化工作。组织实施标准化法律、法规，推进本行政区域内标准化战略的实施；依法开展标准化试点示范工作；管理城陵矶新港区商品条码工作；依据法定职责，对标准的制定进行指导监督，对标准的实施进行监督检查。推行采用国际标准。</w:t>
      </w:r>
    </w:p>
    <w:p w14:paraId="3AB2E4EE">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（十三）负责检验检测工作。依权限配合上级机关开展检验检测工作。</w:t>
      </w:r>
    </w:p>
    <w:p w14:paraId="51DF3C3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（十四）负责统一管理、监督和综合协调认证认可工作。依法监督管理城陵矶新港区认证认可和合格评定有关活动。</w:t>
      </w:r>
    </w:p>
    <w:p w14:paraId="6328CCE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（十五）负责市场监督管理、知识产权领域科技和信息化建设、新闻宣传、对外交流与合作。按规定承担技术性贸易措施有关工作。</w:t>
      </w:r>
    </w:p>
    <w:p w14:paraId="2393023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（十六）负责实施知识产权战略，推进知识产权强区建设。制定强化知识产权创造、保护、运用的管理措施并组织实施。建设知识产权公共服务体系，推动知识产权信息传播利用，建设知识产权人才队伍。</w:t>
      </w:r>
    </w:p>
    <w:p w14:paraId="50D8B15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（十七）负责保护知识产权。落实严格保护专利、商标、原产地地理标志等相关工作，建设知识产权保护体系、指导监督商标、专利及原产地地理标志执法。</w:t>
      </w:r>
    </w:p>
    <w:p w14:paraId="0C3F231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（十八）负责知识产权创造运用。开展知识产权运营体系建设，指导重大经济活动知识产权评议，规范知识产权交易和无形资产评估，促进知识产权转移转化，推动知识产权高质量发展。</w:t>
      </w:r>
    </w:p>
    <w:p w14:paraId="7297D12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负责组织开展有关商品和服务领域消费维权工作，查处假冒伪劣等违法行为，指导消费者咨询、投诉、举报受理、处理等工作，保护经营者、消费者合法权益。指导消费者权益保护组织开展消费维权工作。</w:t>
      </w:r>
    </w:p>
    <w:p w14:paraId="20C94C6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（二十）负责药品（含中药、民族药，下同）、医疗器械和化妆品安全监督管理。贯彻执行国家、省关于药品、医疗器械、化妆品安全监督管理的法律、法规和规章。</w:t>
      </w:r>
    </w:p>
    <w:p w14:paraId="5CB03A1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（二十一）监督实施药品、医疗器械、化妆品标准和分类管理制度，配合有关部门实施国家基本药物制度。</w:t>
      </w:r>
    </w:p>
    <w:p w14:paraId="1F9F59E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（二十二）负责权限范围内药品、医疗器械和化妆品质量管理。监督实施药品、医疗器械经营质量管理规范，监督实施化妆品经营、使用卫生标准和技术规范。</w:t>
      </w:r>
    </w:p>
    <w:p w14:paraId="37A8709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负责权限范围内药品、医疗器械和化妆品上市后风险管理。依委托组织开展药品不良反应、医疗器械不良事件和化妆品不良反应的监测、评价和处置工作。依法承担药品、医疗器械和化妆品安全应急管理工作。</w:t>
      </w:r>
    </w:p>
    <w:p w14:paraId="3B25278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负责组织实施药品、医疗器械和化妆品监督检查。制定检查制度，依法查处药品、医疗器械和化妆品经营、使用环节违法行为，监督实施问题产品召回和处置制度，依职责组织指导查处其他环节的违法行为。</w:t>
      </w:r>
    </w:p>
    <w:p w14:paraId="1187CF93">
      <w:pPr>
        <w:ind w:firstLine="640" w:firstLineChars="200"/>
        <w:jc w:val="left"/>
        <w:rPr>
          <w:rFonts w:hint="eastAsia" w:ascii="Times New Roman" w:hAnsi="Times New Roman" w:eastAsia="仿宋_GB2312" w:cs="仿宋_GB2312"/>
          <w:sz w:val="32"/>
          <w:szCs w:val="32"/>
        </w:rPr>
      </w:pPr>
      <w:r>
        <w:rPr>
          <w:rFonts w:hint="eastAsia" w:ascii="仿宋_GB2312" w:hAnsi="仿宋_GB2312" w:eastAsia="仿宋_GB2312" w:cs="仿宋_GB2312"/>
          <w:color w:val="000000"/>
          <w:kern w:val="0"/>
          <w:sz w:val="32"/>
          <w:szCs w:val="32"/>
        </w:rPr>
        <w:t>（二十五）完成上级部门和区政府（管委会）交办的其他任务。</w:t>
      </w:r>
    </w:p>
    <w:p w14:paraId="0DDEEE45">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643BBFF2">
      <w:pPr>
        <w:ind w:firstLine="640" w:firstLineChars="200"/>
        <w:jc w:val="left"/>
        <w:rPr>
          <w:rFonts w:hint="eastAsia" w:ascii="仿宋_GB2312" w:hAnsi="仿宋_GB2312" w:eastAsia="仿宋_GB2312" w:cs="仿宋_GB2312"/>
          <w:bCs/>
          <w:kern w:val="0"/>
          <w:sz w:val="32"/>
          <w:szCs w:val="32"/>
        </w:rPr>
      </w:pPr>
      <w:r>
        <w:rPr>
          <w:rFonts w:hint="eastAsia" w:ascii="楷体_GB2312" w:hAnsi="楷体_GB2312" w:eastAsia="楷体_GB2312" w:cs="楷体_GB2312"/>
          <w:bCs/>
          <w:kern w:val="0"/>
          <w:sz w:val="32"/>
          <w:szCs w:val="32"/>
        </w:rPr>
        <w:t>（一）内设机构设置。</w:t>
      </w:r>
      <w:r>
        <w:rPr>
          <w:rFonts w:hint="eastAsia" w:ascii="仿宋_GB2312" w:hAnsi="仿宋_GB2312" w:eastAsia="仿宋_GB2312" w:cs="仿宋_GB2312"/>
          <w:color w:val="000000"/>
          <w:kern w:val="0"/>
          <w:sz w:val="32"/>
          <w:szCs w:val="32"/>
          <w:lang w:val="zh-CN"/>
        </w:rPr>
        <w:t>岳阳市市场监督管理局城陵矶新港区分局</w:t>
      </w:r>
      <w:r>
        <w:rPr>
          <w:rFonts w:hint="eastAsia" w:ascii="仿宋_GB2312" w:hAnsi="仿宋_GB2312" w:eastAsia="仿宋_GB2312" w:cs="仿宋_GB2312"/>
          <w:bCs/>
          <w:kern w:val="0"/>
          <w:sz w:val="32"/>
          <w:szCs w:val="32"/>
        </w:rPr>
        <w:t>单位内设机构包括：</w:t>
      </w:r>
      <w:r>
        <w:rPr>
          <w:rFonts w:hint="eastAsia" w:ascii="仿宋_GB2312" w:hAnsi="仿宋_GB2312" w:eastAsia="仿宋_GB2312" w:cs="仿宋_GB2312"/>
          <w:color w:val="000000"/>
          <w:kern w:val="0"/>
          <w:sz w:val="32"/>
          <w:szCs w:val="32"/>
          <w:lang w:val="zh-CN"/>
        </w:rPr>
        <w:t>行政综合办公室、登记注册和信息化股（非公党建办公室）、综合业务股、新港市场监管所。</w:t>
      </w:r>
    </w:p>
    <w:p w14:paraId="3BDD2491">
      <w:pPr>
        <w:ind w:firstLine="640" w:firstLineChars="200"/>
        <w:jc w:val="left"/>
        <w:rPr>
          <w:rFonts w:hint="eastAsia" w:ascii="仿宋_GB2312" w:hAnsi="仿宋_GB2312" w:eastAsia="仿宋_GB2312" w:cs="仿宋_GB2312"/>
          <w:color w:val="000000"/>
          <w:kern w:val="0"/>
          <w:sz w:val="32"/>
          <w:szCs w:val="32"/>
        </w:rPr>
      </w:pPr>
      <w:r>
        <w:rPr>
          <w:rFonts w:hint="eastAsia" w:ascii="Times New Roman" w:hAnsi="Times New Roman" w:eastAsia="仿宋_GB2312" w:cs="仿宋_GB2312"/>
          <w:bCs/>
          <w:kern w:val="0"/>
          <w:sz w:val="32"/>
          <w:szCs w:val="32"/>
        </w:rPr>
        <w:t>（二）</w:t>
      </w:r>
      <w:r>
        <w:rPr>
          <w:rFonts w:hint="eastAsia" w:ascii="仿宋_GB2312" w:hAnsi="仿宋_GB2312" w:eastAsia="仿宋_GB2312" w:cs="仿宋_GB2312"/>
          <w:color w:val="000000"/>
          <w:kern w:val="0"/>
          <w:sz w:val="32"/>
          <w:szCs w:val="32"/>
        </w:rPr>
        <w:t>决算单位构成。</w:t>
      </w:r>
      <w:r>
        <w:rPr>
          <w:rFonts w:hint="eastAsia" w:ascii="仿宋_GB2312" w:hAnsi="仿宋_GB2312" w:eastAsia="仿宋_GB2312" w:cs="仿宋_GB2312"/>
          <w:color w:val="000000"/>
          <w:kern w:val="0"/>
          <w:sz w:val="32"/>
          <w:szCs w:val="32"/>
          <w:lang w:val="zh-CN" w:eastAsia="zh-CN"/>
        </w:rPr>
        <w:t>本单位无独立核算的下属单位，</w:t>
      </w:r>
      <w:r>
        <w:rPr>
          <w:rFonts w:hint="eastAsia" w:ascii="仿宋_GB2312" w:hAnsi="仿宋_GB2312" w:eastAsia="仿宋_GB2312" w:cs="仿宋_GB2312"/>
          <w:color w:val="000000"/>
          <w:kern w:val="0"/>
          <w:sz w:val="32"/>
          <w:szCs w:val="32"/>
          <w:lang w:val="en-US" w:eastAsia="zh-CN"/>
        </w:rPr>
        <w:t>2023年度部门决算汇总公开单位仅包括</w:t>
      </w:r>
      <w:r>
        <w:rPr>
          <w:rFonts w:hint="eastAsia" w:ascii="仿宋_GB2312" w:hAnsi="仿宋_GB2312" w:eastAsia="仿宋_GB2312" w:cs="仿宋_GB2312"/>
          <w:color w:val="000000"/>
          <w:kern w:val="0"/>
          <w:sz w:val="32"/>
          <w:szCs w:val="32"/>
          <w:lang w:val="zh-CN"/>
        </w:rPr>
        <w:t>岳阳市市场监督管理局城陵矶新港区分局</w:t>
      </w:r>
      <w:r>
        <w:rPr>
          <w:rFonts w:hint="eastAsia" w:ascii="仿宋_GB2312" w:hAnsi="仿宋_GB2312" w:eastAsia="仿宋_GB2312" w:cs="仿宋_GB2312"/>
          <w:color w:val="000000"/>
          <w:kern w:val="0"/>
          <w:sz w:val="32"/>
          <w:szCs w:val="32"/>
          <w:lang w:val="en-US" w:eastAsia="zh-CN"/>
        </w:rPr>
        <w:t>单位本级。</w:t>
      </w:r>
    </w:p>
    <w:p w14:paraId="0D4B224F">
      <w:pPr>
        <w:pStyle w:val="14"/>
        <w:jc w:val="both"/>
        <w:rPr>
          <w:rFonts w:hint="eastAsia" w:ascii="方正小标宋_GBK" w:hAnsi="方正小标宋_GBK" w:eastAsia="方正小标宋_GBK" w:cs="方正小标宋_GBK"/>
          <w:sz w:val="84"/>
          <w:szCs w:val="84"/>
        </w:rPr>
      </w:pPr>
    </w:p>
    <w:p w14:paraId="14E8B4CF">
      <w:pPr>
        <w:pStyle w:val="14"/>
        <w:jc w:val="center"/>
        <w:rPr>
          <w:rFonts w:hint="eastAsia" w:ascii="方正小标宋_GBK" w:hAnsi="方正小标宋_GBK" w:eastAsia="方正小标宋_GBK" w:cs="方正小标宋_GBK"/>
          <w:sz w:val="84"/>
          <w:szCs w:val="84"/>
        </w:rPr>
      </w:pPr>
    </w:p>
    <w:p w14:paraId="2F857B32">
      <w:pPr>
        <w:pStyle w:val="14"/>
        <w:jc w:val="center"/>
        <w:rPr>
          <w:rFonts w:hint="eastAsia" w:ascii="方正小标宋_GBK" w:hAnsi="方正小标宋_GBK" w:eastAsia="方正小标宋_GBK" w:cs="方正小标宋_GBK"/>
          <w:sz w:val="84"/>
          <w:szCs w:val="84"/>
        </w:rPr>
      </w:pPr>
    </w:p>
    <w:p w14:paraId="4000DE31">
      <w:pPr>
        <w:pStyle w:val="14"/>
        <w:jc w:val="center"/>
        <w:rPr>
          <w:rFonts w:hint="eastAsia" w:ascii="方正小标宋_GBK" w:hAnsi="方正小标宋_GBK" w:eastAsia="方正小标宋_GBK" w:cs="方正小标宋_GBK"/>
          <w:sz w:val="84"/>
          <w:szCs w:val="84"/>
        </w:rPr>
      </w:pPr>
    </w:p>
    <w:p w14:paraId="5B9A57FF">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39948158">
      <w:pPr>
        <w:pStyle w:val="14"/>
        <w:jc w:val="center"/>
        <w:rPr>
          <w:rFonts w:hint="eastAsia" w:ascii="方正小标宋_GBK" w:hAnsi="方正小标宋_GBK" w:eastAsia="方正小标宋_GBK" w:cs="方正小标宋_GBK"/>
          <w:sz w:val="84"/>
          <w:szCs w:val="84"/>
        </w:rPr>
      </w:pPr>
    </w:p>
    <w:p w14:paraId="1AD25A73">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0D2527F">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10514CBD">
      <w:pPr>
        <w:pStyle w:val="14"/>
        <w:jc w:val="center"/>
        <w:rPr>
          <w:rFonts w:hint="eastAsia" w:ascii="仿宋_GB2312" w:hAnsi="仿宋_GB2312" w:eastAsia="仿宋_GB2312" w:cs="仿宋_GB2312"/>
          <w:b w:val="0"/>
          <w:bCs w:val="0"/>
          <w:sz w:val="72"/>
          <w:szCs w:val="72"/>
          <w:lang w:eastAsia="zh-CN"/>
        </w:rPr>
      </w:pPr>
    </w:p>
    <w:p w14:paraId="62BCC6DB">
      <w:pPr>
        <w:pStyle w:val="14"/>
        <w:jc w:val="center"/>
        <w:rPr>
          <w:rFonts w:hint="eastAsia" w:ascii="仿宋_GB2312" w:hAnsi="仿宋_GB2312" w:eastAsia="仿宋_GB2312" w:cs="仿宋_GB2312"/>
          <w:b w:val="0"/>
          <w:bCs w:val="0"/>
          <w:sz w:val="72"/>
          <w:szCs w:val="72"/>
          <w:lang w:eastAsia="zh-CN"/>
        </w:rPr>
      </w:pPr>
    </w:p>
    <w:p w14:paraId="2EC66838">
      <w:pPr>
        <w:pStyle w:val="14"/>
        <w:jc w:val="center"/>
        <w:rPr>
          <w:rFonts w:hint="eastAsia" w:ascii="仿宋_GB2312" w:hAnsi="仿宋_GB2312" w:eastAsia="仿宋_GB2312" w:cs="仿宋_GB2312"/>
          <w:b w:val="0"/>
          <w:bCs w:val="0"/>
          <w:sz w:val="72"/>
          <w:szCs w:val="72"/>
          <w:lang w:eastAsia="zh-CN"/>
        </w:rPr>
      </w:pPr>
    </w:p>
    <w:p w14:paraId="3112B539">
      <w:pPr>
        <w:pStyle w:val="14"/>
        <w:jc w:val="center"/>
        <w:rPr>
          <w:rFonts w:hint="eastAsia" w:ascii="仿宋_GB2312" w:hAnsi="仿宋_GB2312" w:eastAsia="仿宋_GB2312" w:cs="仿宋_GB2312"/>
          <w:b w:val="0"/>
          <w:bCs w:val="0"/>
          <w:sz w:val="72"/>
          <w:szCs w:val="72"/>
          <w:lang w:eastAsia="zh-CN"/>
        </w:rPr>
      </w:pPr>
    </w:p>
    <w:p w14:paraId="3E5882A4">
      <w:pPr>
        <w:pStyle w:val="14"/>
        <w:jc w:val="center"/>
        <w:rPr>
          <w:rFonts w:hint="eastAsia" w:ascii="仿宋_GB2312" w:hAnsi="仿宋_GB2312" w:eastAsia="仿宋_GB2312" w:cs="仿宋_GB2312"/>
          <w:b w:val="0"/>
          <w:bCs w:val="0"/>
          <w:sz w:val="72"/>
          <w:szCs w:val="72"/>
          <w:lang w:eastAsia="zh-CN"/>
        </w:rPr>
      </w:pPr>
    </w:p>
    <w:p w14:paraId="028031A3">
      <w:pPr>
        <w:pStyle w:val="14"/>
        <w:jc w:val="center"/>
        <w:rPr>
          <w:rFonts w:hint="eastAsia" w:ascii="仿宋_GB2312" w:hAnsi="仿宋_GB2312" w:eastAsia="仿宋_GB2312" w:cs="仿宋_GB2312"/>
          <w:b w:val="0"/>
          <w:bCs w:val="0"/>
          <w:sz w:val="72"/>
          <w:szCs w:val="72"/>
          <w:lang w:eastAsia="zh-CN"/>
        </w:rPr>
      </w:pPr>
    </w:p>
    <w:p w14:paraId="31E7D1C6">
      <w:pPr>
        <w:pStyle w:val="14"/>
        <w:jc w:val="center"/>
        <w:rPr>
          <w:rFonts w:hint="eastAsia" w:ascii="仿宋_GB2312" w:hAnsi="仿宋_GB2312" w:eastAsia="仿宋_GB2312" w:cs="仿宋_GB2312"/>
          <w:b w:val="0"/>
          <w:bCs w:val="0"/>
          <w:sz w:val="72"/>
          <w:szCs w:val="72"/>
          <w:lang w:eastAsia="zh-CN"/>
        </w:rPr>
      </w:pPr>
    </w:p>
    <w:p w14:paraId="1256A1AD">
      <w:pPr>
        <w:pStyle w:val="14"/>
        <w:jc w:val="both"/>
        <w:rPr>
          <w:rFonts w:hint="eastAsia" w:ascii="方正小标宋_GBK" w:hAnsi="方正小标宋_GBK" w:eastAsia="方正小标宋_GBK" w:cs="方正小标宋_GBK"/>
          <w:sz w:val="72"/>
          <w:szCs w:val="72"/>
        </w:rPr>
      </w:pPr>
    </w:p>
    <w:p w14:paraId="3B89BE97">
      <w:pPr>
        <w:pStyle w:val="14"/>
        <w:jc w:val="both"/>
        <w:rPr>
          <w:rFonts w:hint="eastAsia" w:ascii="方正小标宋_GBK" w:hAnsi="方正小标宋_GBK" w:eastAsia="方正小标宋_GBK" w:cs="方正小标宋_GBK"/>
          <w:sz w:val="72"/>
          <w:szCs w:val="72"/>
        </w:rPr>
      </w:pPr>
    </w:p>
    <w:p w14:paraId="298F424C">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C47A533">
      <w:pPr>
        <w:pStyle w:val="14"/>
        <w:jc w:val="center"/>
        <w:rPr>
          <w:rFonts w:hint="eastAsia" w:ascii="方正小标宋_GBK" w:hAnsi="方正小标宋_GBK" w:eastAsia="方正小标宋_GBK" w:cs="方正小标宋_GBK"/>
          <w:sz w:val="70"/>
          <w:szCs w:val="70"/>
        </w:rPr>
      </w:pPr>
    </w:p>
    <w:p w14:paraId="71CA66C7">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0C551A3">
      <w:pPr>
        <w:pStyle w:val="14"/>
        <w:jc w:val="center"/>
        <w:rPr>
          <w:rFonts w:hint="eastAsia" w:ascii="方正小标宋_GBK" w:hAnsi="方正小标宋_GBK" w:eastAsia="方正小标宋_GBK" w:cs="方正小标宋_GBK"/>
          <w:sz w:val="70"/>
          <w:szCs w:val="70"/>
        </w:rPr>
      </w:pPr>
    </w:p>
    <w:p w14:paraId="21F198F0">
      <w:pPr>
        <w:pStyle w:val="14"/>
        <w:jc w:val="center"/>
        <w:rPr>
          <w:rFonts w:hint="eastAsia" w:ascii="方正小标宋_GBK" w:hAnsi="方正小标宋_GBK" w:eastAsia="方正小标宋_GBK" w:cs="方正小标宋_GBK"/>
          <w:sz w:val="70"/>
          <w:szCs w:val="70"/>
        </w:rPr>
      </w:pPr>
    </w:p>
    <w:p w14:paraId="153BEE00">
      <w:pPr>
        <w:pStyle w:val="14"/>
        <w:jc w:val="center"/>
        <w:rPr>
          <w:rFonts w:hint="eastAsia" w:ascii="方正小标宋_GBK" w:hAnsi="方正小标宋_GBK" w:eastAsia="方正小标宋_GBK" w:cs="方正小标宋_GBK"/>
          <w:sz w:val="70"/>
          <w:szCs w:val="70"/>
        </w:rPr>
      </w:pPr>
    </w:p>
    <w:p w14:paraId="435EECC5">
      <w:pPr>
        <w:pStyle w:val="14"/>
        <w:jc w:val="center"/>
        <w:rPr>
          <w:rFonts w:hint="eastAsia" w:ascii="方正小标宋_GBK" w:hAnsi="方正小标宋_GBK" w:eastAsia="方正小标宋_GBK" w:cs="方正小标宋_GBK"/>
          <w:sz w:val="70"/>
          <w:szCs w:val="70"/>
        </w:rPr>
      </w:pPr>
    </w:p>
    <w:p w14:paraId="1838035C">
      <w:pPr>
        <w:pStyle w:val="14"/>
        <w:jc w:val="center"/>
        <w:rPr>
          <w:rFonts w:hint="eastAsia" w:ascii="方正小标宋_GBK" w:hAnsi="方正小标宋_GBK" w:eastAsia="方正小标宋_GBK" w:cs="方正小标宋_GBK"/>
          <w:sz w:val="70"/>
          <w:szCs w:val="70"/>
        </w:rPr>
      </w:pPr>
    </w:p>
    <w:p w14:paraId="5D4CE5D2">
      <w:pPr>
        <w:pStyle w:val="14"/>
        <w:jc w:val="center"/>
        <w:rPr>
          <w:rFonts w:hint="eastAsia" w:ascii="方正小标宋_GBK" w:hAnsi="方正小标宋_GBK" w:eastAsia="方正小标宋_GBK" w:cs="方正小标宋_GBK"/>
          <w:sz w:val="70"/>
          <w:szCs w:val="70"/>
        </w:rPr>
      </w:pPr>
    </w:p>
    <w:p w14:paraId="5D46136A">
      <w:pPr>
        <w:pStyle w:val="14"/>
        <w:jc w:val="center"/>
        <w:rPr>
          <w:rFonts w:hint="eastAsia" w:ascii="方正小标宋_GBK" w:hAnsi="方正小标宋_GBK" w:eastAsia="方正小标宋_GBK" w:cs="方正小标宋_GBK"/>
          <w:sz w:val="70"/>
          <w:szCs w:val="70"/>
        </w:rPr>
      </w:pPr>
    </w:p>
    <w:p w14:paraId="29008241">
      <w:pPr>
        <w:widowControl/>
        <w:ind w:firstLine="640" w:firstLineChars="200"/>
        <w:jc w:val="left"/>
        <w:rPr>
          <w:rFonts w:hint="eastAsia" w:ascii="仿宋_GB2312" w:hAnsi="仿宋_GB2312" w:eastAsia="仿宋_GB2312" w:cs="仿宋_GB2312"/>
          <w:sz w:val="32"/>
          <w:szCs w:val="32"/>
        </w:rPr>
      </w:pPr>
    </w:p>
    <w:p w14:paraId="318C3195">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79452C3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2822CEA2">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390.9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7.16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代收代付湖南城陵矶新港区管委会，对企业知识产权资助金17.97万元</w:t>
      </w:r>
      <w:r>
        <w:rPr>
          <w:rFonts w:hint="eastAsia" w:ascii="仿宋_GB2312" w:hAnsi="仿宋_GB2312" w:eastAsia="仿宋_GB2312" w:cs="仿宋_GB2312"/>
          <w:sz w:val="32"/>
          <w:szCs w:val="32"/>
        </w:rPr>
        <w:t>，导致决算数大于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19CB54C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424A0D3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390.90</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76.54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91.71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23.46</w:t>
      </w:r>
      <w:r>
        <w:rPr>
          <w:rFonts w:hint="eastAsia" w:ascii="仿宋_GB2312" w:hAnsi="仿宋_GB2312" w:eastAsia="仿宋_GB2312" w:cs="仿宋_GB2312"/>
          <w:sz w:val="32"/>
          <w:szCs w:val="32"/>
        </w:rPr>
        <w:t>%。</w:t>
      </w:r>
    </w:p>
    <w:p w14:paraId="0FA67D2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3EF67B3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390.82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325.38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83.26</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65.44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16.74</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72DB706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3D8F3DCF">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i/>
          <w:iCs/>
          <w:color w:val="000000"/>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53.52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在职减少1人，省局减少了知识产权专项经费拨付并且未拨付</w:t>
      </w:r>
      <w:r>
        <w:rPr>
          <w:rFonts w:hint="eastAsia" w:ascii="仿宋_GB2312" w:hAnsi="仿宋_GB2312" w:eastAsia="仿宋_GB2312" w:cs="仿宋_GB2312"/>
          <w:sz w:val="32"/>
          <w:szCs w:val="32"/>
        </w:rPr>
        <w:t>广告监测监管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lang w:val="en-US" w:eastAsia="zh-CN"/>
        </w:rPr>
        <w:t>经费，市场监督管理局未拨付</w:t>
      </w:r>
      <w:r>
        <w:rPr>
          <w:rFonts w:hint="eastAsia" w:ascii="仿宋_GB2312" w:hAnsi="仿宋_GB2312" w:eastAsia="仿宋_GB2312" w:cs="仿宋_GB2312"/>
          <w:sz w:val="32"/>
          <w:szCs w:val="32"/>
        </w:rPr>
        <w:t>市场秩序执法</w:t>
      </w:r>
      <w:r>
        <w:rPr>
          <w:rFonts w:hint="eastAsia" w:ascii="仿宋_GB2312" w:hAnsi="仿宋_GB2312" w:eastAsia="仿宋_GB2312" w:cs="仿宋_GB2312"/>
          <w:sz w:val="32"/>
          <w:szCs w:val="32"/>
          <w:lang w:val="en-US" w:eastAsia="zh-CN"/>
        </w:rPr>
        <w:t>经费。</w:t>
      </w:r>
      <w:r>
        <w:rPr>
          <w:rFonts w:hint="eastAsia" w:ascii="仿宋_GB2312" w:hAnsi="仿宋_GB2312" w:eastAsia="仿宋_GB2312" w:cs="仿宋_GB2312"/>
          <w:sz w:val="32"/>
          <w:szCs w:val="32"/>
        </w:rPr>
        <w:t>导致决算数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727AF74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7A3190E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5A0C55C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76.55</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53.52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在职减少1人、省局减少了知识产权专项经费拨付并且未拨付</w:t>
      </w:r>
      <w:r>
        <w:rPr>
          <w:rFonts w:hint="eastAsia" w:ascii="仿宋_GB2312" w:hAnsi="仿宋_GB2312" w:eastAsia="仿宋_GB2312" w:cs="仿宋_GB2312"/>
          <w:sz w:val="32"/>
          <w:szCs w:val="32"/>
        </w:rPr>
        <w:t>广告监测监管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lang w:val="en-US" w:eastAsia="zh-CN"/>
        </w:rPr>
        <w:t>经费，市场监督管理局未拨付</w:t>
      </w:r>
      <w:r>
        <w:rPr>
          <w:rFonts w:hint="eastAsia" w:ascii="仿宋_GB2312" w:hAnsi="仿宋_GB2312" w:eastAsia="仿宋_GB2312" w:cs="仿宋_GB2312"/>
          <w:sz w:val="32"/>
          <w:szCs w:val="32"/>
        </w:rPr>
        <w:t>市场秩序执法</w:t>
      </w:r>
      <w:r>
        <w:rPr>
          <w:rFonts w:hint="eastAsia" w:ascii="仿宋_GB2312" w:hAnsi="仿宋_GB2312" w:eastAsia="仿宋_GB2312" w:cs="仿宋_GB2312"/>
          <w:sz w:val="32"/>
          <w:szCs w:val="32"/>
          <w:lang w:val="en-US" w:eastAsia="zh-CN"/>
        </w:rPr>
        <w:t>经费。</w:t>
      </w:r>
      <w:r>
        <w:rPr>
          <w:rFonts w:hint="eastAsia" w:ascii="仿宋_GB2312" w:hAnsi="仿宋_GB2312" w:eastAsia="仿宋_GB2312" w:cs="仿宋_GB2312"/>
          <w:sz w:val="32"/>
          <w:szCs w:val="32"/>
        </w:rPr>
        <w:t>导致决算数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57DB395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C0BD6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254.50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85.06</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17.82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5.96</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9.36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3.13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lang w:val="en-US" w:eastAsia="zh-CN"/>
        </w:rPr>
        <w:t xml:space="preserve"> 17.50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5.85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3C6F280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1530622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260.30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114.94</w:t>
      </w:r>
      <w:r>
        <w:rPr>
          <w:rFonts w:hint="eastAsia" w:ascii="仿宋_GB2312" w:hAnsi="仿宋_GB2312" w:eastAsia="仿宋_GB2312" w:cs="仿宋_GB2312"/>
          <w:sz w:val="32"/>
          <w:szCs w:val="32"/>
        </w:rPr>
        <w:t>%，其中：</w:t>
      </w:r>
    </w:p>
    <w:p w14:paraId="4CBDF03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1、一般公共服务（类）知识产权事务（款）其他知识产权事务支出（项）。</w:t>
      </w:r>
    </w:p>
    <w:p w14:paraId="7D12E475">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（2011499）年初预算为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因开展知识产权工作需要，</w:t>
      </w:r>
      <w:r>
        <w:rPr>
          <w:rFonts w:hint="eastAsia" w:ascii="仿宋_GB2312" w:hAnsi="仿宋_GB2312" w:eastAsia="仿宋_GB2312" w:cs="仿宋_GB2312"/>
          <w:sz w:val="32"/>
          <w:szCs w:val="32"/>
        </w:rPr>
        <w:t>年中省局追拨了其他知识产权事务专项资金</w:t>
      </w:r>
      <w:r>
        <w:rPr>
          <w:rFonts w:hint="eastAsia" w:ascii="仿宋_GB2312" w:hAnsi="仿宋_GB2312" w:eastAsia="仿宋_GB2312" w:cs="仿宋_GB2312"/>
          <w:sz w:val="32"/>
          <w:szCs w:val="32"/>
          <w:lang w:val="en-US" w:eastAsia="zh-CN"/>
        </w:rPr>
        <w:t>，导致决算数大于年初预算数。</w:t>
      </w:r>
    </w:p>
    <w:p w14:paraId="7300DE4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2、一般公共服务（类）市场监督管理事务（款）行政运行（项）。</w:t>
      </w:r>
    </w:p>
    <w:p w14:paraId="04778D77">
      <w:pPr>
        <w:pStyle w:val="14"/>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13801</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210.82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236.40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112.13</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市财政追拨人员正常晋级晋档工资、社保、2023年十三月</w:t>
      </w:r>
      <w:r>
        <w:rPr>
          <w:rFonts w:hint="eastAsia" w:ascii="仿宋_GB2312" w:hAnsi="仿宋_GB2312" w:eastAsia="仿宋_GB2312" w:cs="仿宋_GB2312"/>
          <w:sz w:val="32"/>
          <w:szCs w:val="32"/>
        </w:rPr>
        <w:t>工资</w:t>
      </w:r>
      <w:r>
        <w:rPr>
          <w:rFonts w:hint="eastAsia" w:ascii="仿宋_GB2312" w:hAnsi="仿宋_GB2312" w:eastAsia="仿宋_GB2312" w:cs="仿宋_GB2312"/>
          <w:sz w:val="32"/>
          <w:szCs w:val="32"/>
          <w:lang w:val="en-US" w:eastAsia="zh-CN"/>
        </w:rPr>
        <w:t>及2022年度绩效考核奖金，</w:t>
      </w:r>
      <w:r>
        <w:rPr>
          <w:rFonts w:hint="eastAsia" w:ascii="仿宋_GB2312" w:hAnsi="仿宋_GB2312" w:eastAsia="仿宋_GB2312" w:cs="仿宋_GB2312"/>
          <w:sz w:val="32"/>
          <w:szCs w:val="32"/>
        </w:rPr>
        <w:t>导致决算数大于年初预算数</w:t>
      </w:r>
      <w:r>
        <w:rPr>
          <w:rFonts w:hint="eastAsia" w:ascii="仿宋_GB2312" w:hAnsi="仿宋_GB2312" w:eastAsia="仿宋_GB2312" w:cs="仿宋_GB2312"/>
          <w:sz w:val="32"/>
          <w:szCs w:val="32"/>
          <w:lang w:val="en-US" w:eastAsia="zh-CN"/>
        </w:rPr>
        <w:t>。</w:t>
      </w:r>
    </w:p>
    <w:p w14:paraId="6CFABAF2">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食品安全监管</w:t>
      </w:r>
      <w:r>
        <w:rPr>
          <w:rFonts w:hint="eastAsia" w:ascii="仿宋_GB2312" w:hAnsi="仿宋_GB2312" w:eastAsia="仿宋_GB2312" w:cs="仿宋_GB2312"/>
          <w:sz w:val="32"/>
          <w:szCs w:val="32"/>
        </w:rPr>
        <w:t>（项）。</w:t>
      </w:r>
    </w:p>
    <w:p w14:paraId="4F9C0F06">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（2013816）食品安全监管年初预算为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因开展食品安全监管工作需要，用了市场监督管理局上年拨的食品安全监管抽检专项经费，</w:t>
      </w:r>
      <w:r>
        <w:rPr>
          <w:rFonts w:hint="eastAsia" w:ascii="仿宋_GB2312" w:hAnsi="仿宋_GB2312" w:eastAsia="仿宋_GB2312" w:cs="仿宋_GB2312"/>
          <w:sz w:val="32"/>
          <w:szCs w:val="32"/>
        </w:rPr>
        <w:t>导致决算数大于年初预算数</w:t>
      </w:r>
      <w:r>
        <w:rPr>
          <w:rFonts w:hint="eastAsia" w:ascii="仿宋_GB2312" w:hAnsi="仿宋_GB2312" w:eastAsia="仿宋_GB2312" w:cs="仿宋_GB2312"/>
          <w:sz w:val="32"/>
          <w:szCs w:val="32"/>
          <w:lang w:val="en-US" w:eastAsia="zh-CN"/>
        </w:rPr>
        <w:t>。</w:t>
      </w:r>
    </w:p>
    <w:p w14:paraId="1CD0FC8B">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其他市场监督管理事务</w:t>
      </w:r>
      <w:r>
        <w:rPr>
          <w:rFonts w:hint="eastAsia" w:ascii="仿宋_GB2312" w:hAnsi="仿宋_GB2312" w:eastAsia="仿宋_GB2312" w:cs="仿宋_GB2312"/>
          <w:sz w:val="32"/>
          <w:szCs w:val="32"/>
        </w:rPr>
        <w:t>（项）。</w:t>
      </w:r>
    </w:p>
    <w:p w14:paraId="6681DE39">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（2013899）其他市场监督管理事务年初预算为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监管工作需要</w:t>
      </w:r>
      <w:r>
        <w:rPr>
          <w:rFonts w:hint="eastAsia" w:ascii="仿宋_GB2312" w:hAnsi="仿宋_GB2312" w:eastAsia="仿宋_GB2312" w:cs="仿宋_GB2312"/>
          <w:sz w:val="32"/>
          <w:szCs w:val="32"/>
        </w:rPr>
        <w:t>年中省局追拨了</w:t>
      </w:r>
      <w:r>
        <w:rPr>
          <w:rFonts w:hint="eastAsia" w:ascii="仿宋_GB2312" w:hAnsi="仿宋_GB2312" w:eastAsia="仿宋_GB2312" w:cs="仿宋_GB2312"/>
          <w:sz w:val="32"/>
          <w:szCs w:val="32"/>
          <w:lang w:val="en-US" w:eastAsia="zh-CN"/>
        </w:rPr>
        <w:t>食品</w:t>
      </w:r>
      <w:r>
        <w:rPr>
          <w:rFonts w:hint="eastAsia" w:ascii="仿宋_GB2312" w:hAnsi="仿宋_GB2312" w:eastAsia="仿宋_GB2312" w:cs="仿宋_GB2312"/>
          <w:sz w:val="32"/>
          <w:szCs w:val="32"/>
        </w:rPr>
        <w:t>监管</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rPr>
        <w:t>等专项资金，导致决算数大于年初预算数。</w:t>
      </w:r>
    </w:p>
    <w:p w14:paraId="377B4A59">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5、社会保障和就业（类）行政事业单位养老支出（款）机关事业单位基本养老保险缴费支出（项）</w:t>
      </w:r>
    </w:p>
    <w:p w14:paraId="25685DB5">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2080505）机关事业单位基本养老保险缴费年初预算为17.82万元，机关事业单位基本养老保险缴费支出决算为17.82万元，完成年初预算的100%，决算数与年初预算数一致，主要原因是：年初预算已全额保障了全年的机关事业单位基本养老保险缴费。</w:t>
      </w:r>
    </w:p>
    <w:p w14:paraId="2016BCF1">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6、卫生健康（类）行政事业单位医疗（款）行政单位医疗（项）</w:t>
      </w:r>
    </w:p>
    <w:p w14:paraId="2E2FDE95">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（2101101）行政单位医疗年初预算为13.82元，支出决算为9.36万元，完成年初预算的67.73%，决算数小于年初预算数的主要原因是：年中预算调整，公务员医疗补助缴费预算未上指标，导致决算数小于年初预算数。</w:t>
      </w:r>
    </w:p>
    <w:p w14:paraId="25F7119A">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7、住房保障支出（类）住房改革支出（款）住房公积金（项）</w:t>
      </w:r>
    </w:p>
    <w:p w14:paraId="7106D345">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（2210201）住房公积金年初预算为17.85万元，支出决算为17.50万元，完成年初预算的98.04%，决算数小于年初预算数的主要原因是：年中预算调整，2023年10月退休1人，导致决算数小于年初预算数。</w:t>
      </w:r>
    </w:p>
    <w:p w14:paraId="203E82A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2D3649B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281.09</w:t>
      </w:r>
      <w:r>
        <w:rPr>
          <w:rFonts w:hint="eastAsia" w:ascii="仿宋_GB2312" w:hAnsi="仿宋_GB2312" w:eastAsia="仿宋_GB2312" w:cs="仿宋_GB2312"/>
          <w:sz w:val="32"/>
          <w:szCs w:val="32"/>
        </w:rPr>
        <w:t>万元，其中：</w:t>
      </w:r>
    </w:p>
    <w:p w14:paraId="5FF4F0D8">
      <w:pPr>
        <w:pStyle w:val="14"/>
        <w:ind w:firstLine="640"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bCs/>
          <w:sz w:val="32"/>
          <w:szCs w:val="32"/>
          <w:lang w:val="en-US" w:eastAsia="zh-CN"/>
        </w:rPr>
        <w:t>239.29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85.13</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机关事业单位基本养老保险缴费</w:t>
      </w:r>
      <w:r>
        <w:rPr>
          <w:rFonts w:hint="eastAsia" w:ascii="仿宋_GB2312" w:hAnsi="仿宋_GB2312" w:eastAsia="仿宋_GB2312" w:cs="仿宋_GB2312"/>
          <w:sz w:val="32"/>
          <w:szCs w:val="32"/>
          <w:lang w:eastAsia="zh-CN"/>
        </w:rPr>
        <w:t>、职工基本医疗保险缴费、其他社会保障缴费、住房公积金、退休费。</w:t>
      </w:r>
    </w:p>
    <w:p w14:paraId="20CAB34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bCs/>
          <w:sz w:val="32"/>
          <w:szCs w:val="32"/>
          <w:lang w:val="en-US" w:eastAsia="zh-CN"/>
        </w:rPr>
        <w:t>41.8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14.87</w:t>
      </w:r>
      <w:r>
        <w:rPr>
          <w:rFonts w:hint="eastAsia" w:ascii="仿宋_GB2312" w:hAnsi="仿宋_GB2312" w:eastAsia="仿宋_GB2312" w:cs="仿宋_GB2312"/>
          <w:sz w:val="32"/>
          <w:szCs w:val="32"/>
        </w:rPr>
        <w:t>%，主要包括办公费、印刷费、咨询费、邮电费</w:t>
      </w:r>
      <w:r>
        <w:rPr>
          <w:rFonts w:hint="eastAsia" w:ascii="仿宋_GB2312" w:hAnsi="仿宋_GB2312" w:eastAsia="仿宋_GB2312" w:cs="仿宋_GB2312"/>
          <w:sz w:val="32"/>
          <w:szCs w:val="32"/>
          <w:lang w:eastAsia="zh-CN"/>
        </w:rPr>
        <w:t>、物业管理费、差旅费、维修（护）费、培训费、公务接待费、</w:t>
      </w:r>
      <w:r>
        <w:rPr>
          <w:rFonts w:hint="eastAsia" w:ascii="仿宋_GB2312" w:hAnsi="仿宋_GB2312" w:eastAsia="仿宋_GB2312" w:cs="仿宋_GB2312"/>
          <w:sz w:val="32"/>
          <w:szCs w:val="32"/>
          <w:lang w:val="en-US" w:eastAsia="zh-CN"/>
        </w:rPr>
        <w:t>委托业务</w:t>
      </w:r>
      <w:r>
        <w:rPr>
          <w:rFonts w:hint="eastAsia" w:ascii="仿宋_GB2312" w:hAnsi="仿宋_GB2312" w:eastAsia="仿宋_GB2312" w:cs="仿宋_GB2312"/>
          <w:sz w:val="32"/>
          <w:szCs w:val="32"/>
          <w:lang w:eastAsia="zh-CN"/>
        </w:rPr>
        <w:t>费、工会经费、</w:t>
      </w:r>
      <w:r>
        <w:rPr>
          <w:rFonts w:hint="eastAsia" w:ascii="仿宋_GB2312" w:hAnsi="仿宋_GB2312" w:eastAsia="仿宋_GB2312" w:cs="仿宋_GB2312"/>
          <w:sz w:val="32"/>
          <w:szCs w:val="32"/>
          <w:lang w:val="en-US" w:eastAsia="zh-CN"/>
        </w:rPr>
        <w:t>福利费、</w:t>
      </w:r>
      <w:r>
        <w:rPr>
          <w:rFonts w:hint="eastAsia" w:ascii="仿宋_GB2312" w:hAnsi="仿宋_GB2312" w:eastAsia="仿宋_GB2312" w:cs="仿宋_GB2312"/>
          <w:sz w:val="32"/>
          <w:szCs w:val="32"/>
          <w:lang w:eastAsia="zh-CN"/>
        </w:rPr>
        <w:t>公务用车运行维护费、其他交通费用、 其他商品和服务支出</w:t>
      </w:r>
      <w:r>
        <w:rPr>
          <w:rFonts w:hint="eastAsia" w:ascii="仿宋_GB2312" w:hAnsi="仿宋_GB2312" w:eastAsia="仿宋_GB2312" w:cs="仿宋_GB2312"/>
          <w:sz w:val="32"/>
          <w:szCs w:val="32"/>
        </w:rPr>
        <w:t>。</w:t>
      </w:r>
    </w:p>
    <w:p w14:paraId="38CD43F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2638A0BA">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52AE9DD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47ADA071">
      <w:pPr>
        <w:widowControl w:val="0"/>
        <w:autoSpaceDE w:val="0"/>
        <w:autoSpaceDN w:val="0"/>
        <w:adjustRightInd w:val="0"/>
        <w:ind w:firstLine="640" w:firstLineChars="200"/>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2023年度国有资本经营预算财政拨款收入0万元；年初结转和结余0万元；支出0万元，其中：基本支出0万元，项目支出0万元；年末结转和结余0万元。</w:t>
      </w:r>
    </w:p>
    <w:p w14:paraId="3C166F5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1136348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1E7A7DE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color w:val="000000"/>
          <w:kern w:val="0"/>
          <w:sz w:val="32"/>
          <w:szCs w:val="32"/>
          <w:lang w:val="en-US" w:eastAsia="zh-CN" w:bidi="ar-SA"/>
        </w:rPr>
        <w:t>严格执行中央八项规定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1.35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33.75</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color w:val="000000"/>
          <w:kern w:val="0"/>
          <w:sz w:val="32"/>
          <w:szCs w:val="32"/>
          <w:lang w:val="en-US" w:eastAsia="zh-CN" w:bidi="ar-SA"/>
        </w:rPr>
        <w:t>按有关政策厉行节约，严控公务接待支出及</w:t>
      </w:r>
      <w:r>
        <w:rPr>
          <w:rFonts w:hint="eastAsia" w:ascii="仿宋_GB2312" w:hAnsi="仿宋_GB2312" w:eastAsia="仿宋_GB2312" w:cs="仿宋_GB2312"/>
          <w:sz w:val="32"/>
          <w:szCs w:val="32"/>
          <w:lang w:val="en-US" w:eastAsia="zh-CN"/>
        </w:rPr>
        <w:t>公务用车运行维护费支出</w:t>
      </w:r>
      <w:r>
        <w:rPr>
          <w:rFonts w:hint="eastAsia" w:ascii="仿宋_GB2312" w:hAnsi="仿宋_GB2312" w:eastAsia="仿宋_GB2312" w:cs="仿宋_GB2312"/>
          <w:sz w:val="32"/>
          <w:szCs w:val="32"/>
        </w:rPr>
        <w:t>。其中：</w:t>
      </w:r>
    </w:p>
    <w:p w14:paraId="77C6E2C0">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0203C1D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公务接待费支出预算为1万元，支出决算为0.53万元，完成预算的53%，决算数小于预算数的主要原因是严格执行中央八项规定，与上年相比减少0.01万元，减少0.01%,减少的主要原因是按有关政策厉行节约，严控公务接待支出。</w:t>
      </w:r>
    </w:p>
    <w:p w14:paraId="1BDDA30A">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14:paraId="57108E3B">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78.67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将调配借用在我单位的湘FA6808归还和厉行节约严格控制公务用车运行维护费支出</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1.33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44.33</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将调配借用在我单位的湘FA6808归还和厉行节约严格控制公务用车运行维护费支出</w:t>
      </w:r>
      <w:r>
        <w:rPr>
          <w:rFonts w:hint="eastAsia" w:ascii="仿宋_GB2312" w:hAnsi="仿宋_GB2312" w:eastAsia="仿宋_GB2312" w:cs="仿宋_GB2312"/>
          <w:sz w:val="32"/>
          <w:szCs w:val="32"/>
        </w:rPr>
        <w:t>。</w:t>
      </w:r>
    </w:p>
    <w:p w14:paraId="613AF5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234DC45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18.34</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81.66</w:t>
      </w:r>
      <w:r>
        <w:rPr>
          <w:rFonts w:hint="eastAsia" w:ascii="仿宋_GB2312" w:hAnsi="仿宋_GB2312" w:eastAsia="仿宋_GB2312" w:cs="仿宋_GB2312"/>
          <w:sz w:val="32"/>
          <w:szCs w:val="32"/>
        </w:rPr>
        <w:t>%。其中：</w:t>
      </w:r>
    </w:p>
    <w:p w14:paraId="594CDAD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1、因公出国（境）费支出决算为0万元，全年安排因公出国（境）团组0个，累计0人次，我单位2023年度无因公出国（境）费支出。</w:t>
      </w:r>
      <w:r>
        <w:rPr>
          <w:rFonts w:hint="eastAsia" w:ascii="仿宋_GB2312" w:hAnsi="仿宋_GB2312" w:eastAsia="仿宋_GB2312" w:cs="仿宋_GB2312"/>
          <w:b w:val="0"/>
          <w:bCs/>
          <w:color w:val="FF0000"/>
          <w:kern w:val="0"/>
          <w:sz w:val="32"/>
          <w:szCs w:val="32"/>
          <w:lang w:val="en-US" w:eastAsia="zh-CN" w:bidi="ar-SA"/>
        </w:rPr>
        <w:t xml:space="preserve"> </w:t>
      </w:r>
    </w:p>
    <w:p w14:paraId="63B4FE2D">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val="zh-CN"/>
        </w:rPr>
        <w:t>学习交流、检查、调研等发生的接待支出</w:t>
      </w:r>
      <w:r>
        <w:rPr>
          <w:rFonts w:hint="eastAsia" w:ascii="仿宋_GB2312" w:hAnsi="仿宋_GB2312" w:eastAsia="仿宋_GB2312" w:cs="仿宋_GB2312"/>
          <w:sz w:val="32"/>
          <w:szCs w:val="32"/>
        </w:rPr>
        <w:t>。</w:t>
      </w:r>
    </w:p>
    <w:p w14:paraId="19E2FAE3">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val="en-US" w:eastAsia="zh-CN"/>
        </w:rPr>
        <w:t>公务用车购置费0万元，当年没有购置公务用车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险费、维修费、燃料费等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5EED0BD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D5F1F02">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41.79</w:t>
      </w:r>
      <w:r>
        <w:rPr>
          <w:rFonts w:hint="eastAsia" w:ascii="仿宋_GB2312" w:hAnsi="仿宋_GB2312" w:eastAsia="仿宋_GB2312" w:cs="仿宋_GB2312"/>
          <w:sz w:val="32"/>
          <w:szCs w:val="32"/>
        </w:rPr>
        <w:t>万元，比年初预算数减少</w:t>
      </w:r>
      <w:r>
        <w:rPr>
          <w:rFonts w:hint="eastAsia" w:ascii="仿宋_GB2312" w:hAnsi="仿宋_GB2312" w:eastAsia="仿宋_GB2312" w:cs="仿宋_GB2312"/>
          <w:sz w:val="32"/>
          <w:szCs w:val="32"/>
          <w:lang w:val="en-US" w:eastAsia="zh-CN"/>
        </w:rPr>
        <w:t>6.11</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12.76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主要原因是：</w:t>
      </w:r>
      <w:r>
        <w:rPr>
          <w:rFonts w:hint="eastAsia" w:ascii="仿宋_GB2312" w:hAnsi="仿宋_GB2312" w:eastAsia="仿宋_GB2312" w:cs="仿宋_GB2312"/>
          <w:color w:val="000000"/>
          <w:kern w:val="0"/>
          <w:sz w:val="32"/>
          <w:szCs w:val="32"/>
          <w:lang w:val="en-US" w:eastAsia="zh-CN" w:bidi="ar-SA"/>
        </w:rPr>
        <w:t>压减公用经费中的印刷费、会议费、其他商品和服务支出等</w:t>
      </w:r>
      <w:r>
        <w:rPr>
          <w:rFonts w:hint="eastAsia" w:ascii="楷体" w:hAnsi="楷体" w:eastAsia="楷体" w:cs="楷体"/>
          <w:sz w:val="32"/>
          <w:szCs w:val="32"/>
        </w:rPr>
        <w:t>。</w:t>
      </w:r>
    </w:p>
    <w:p w14:paraId="03B6540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A7829D6">
      <w:pPr>
        <w:pStyle w:val="1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年度，会议费年初预算0.5万元，支出决算为0万元，完成年初预算的0%。</w:t>
      </w:r>
    </w:p>
    <w:p w14:paraId="0C36FA01">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培训费年初预算1万元，支出决算为0.83万元，完成年初预算的83%。用于</w:t>
      </w:r>
      <w:r>
        <w:rPr>
          <w:rFonts w:hint="eastAsia" w:ascii="仿宋_GB2312" w:hAnsi="仿宋_GB2312" w:eastAsia="仿宋_GB2312" w:cs="仿宋_GB2312"/>
          <w:sz w:val="32"/>
          <w:szCs w:val="32"/>
          <w:lang w:val="en-US" w:eastAsia="zh-CN"/>
        </w:rPr>
        <w:t>参加业务培训，</w:t>
      </w:r>
      <w:r>
        <w:rPr>
          <w:rFonts w:hint="eastAsia" w:ascii="仿宋_GB2312" w:hAnsi="仿宋_GB2312" w:eastAsia="仿宋_GB2312" w:cs="仿宋_GB2312"/>
          <w:color w:val="000000"/>
          <w:kern w:val="0"/>
          <w:sz w:val="32"/>
          <w:szCs w:val="32"/>
          <w:lang w:val="en-US" w:eastAsia="zh-CN" w:bidi="ar-SA"/>
        </w:rPr>
        <w:t>人数4人，内容为</w:t>
      </w:r>
      <w:r>
        <w:rPr>
          <w:rFonts w:hint="eastAsia" w:ascii="仿宋_GB2312" w:hAnsi="仿宋_GB2312" w:eastAsia="仿宋_GB2312" w:cs="仿宋_GB2312"/>
          <w:sz w:val="32"/>
          <w:szCs w:val="32"/>
          <w:lang w:val="en-US" w:eastAsia="zh-CN"/>
        </w:rPr>
        <w:t>参加工作业务培训</w:t>
      </w:r>
      <w:r>
        <w:rPr>
          <w:rFonts w:hint="eastAsia" w:ascii="仿宋_GB2312" w:hAnsi="仿宋_GB2312" w:eastAsia="仿宋_GB2312" w:cs="仿宋_GB2312"/>
          <w:color w:val="000000"/>
          <w:kern w:val="0"/>
          <w:sz w:val="32"/>
          <w:szCs w:val="32"/>
          <w:lang w:val="en-US" w:eastAsia="zh-CN" w:bidi="ar-SA"/>
        </w:rPr>
        <w:t>。</w:t>
      </w:r>
    </w:p>
    <w:p w14:paraId="7483006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130CB77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26CD4B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i/>
          <w:color w:val="FF0000"/>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74.82</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39.04</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35.78</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74.82</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54.78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73.22</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bookmarkStart w:id="0" w:name="_GoBack"/>
      <w:bookmarkEnd w:id="0"/>
      <w:r>
        <w:rPr>
          <w:rFonts w:hint="eastAsia" w:ascii="仿宋_GB2312" w:hAnsi="仿宋_GB2312" w:eastAsia="仿宋_GB2312" w:cs="仿宋_GB2312"/>
          <w:color w:val="auto"/>
          <w:sz w:val="32"/>
          <w:szCs w:val="32"/>
          <w:lang w:eastAsia="zh-CN"/>
        </w:rPr>
        <w:t>（由于</w:t>
      </w:r>
      <w:r>
        <w:rPr>
          <w:rFonts w:hint="eastAsia" w:ascii="仿宋_GB2312" w:hAnsi="仿宋_GB2312" w:eastAsia="仿宋_GB2312" w:cs="仿宋_GB2312"/>
          <w:sz w:val="32"/>
          <w:szCs w:val="32"/>
        </w:rPr>
        <w:t>政府采购工程支出</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，故无法计算占</w:t>
      </w:r>
      <w:r>
        <w:rPr>
          <w:rFonts w:hint="eastAsia" w:ascii="仿宋_GB2312" w:hAnsi="仿宋_GB2312" w:eastAsia="仿宋_GB2312" w:cs="仿宋_GB2312"/>
          <w:color w:val="auto"/>
          <w:sz w:val="32"/>
          <w:szCs w:val="32"/>
        </w:rPr>
        <w:t>授予中小企业合同</w:t>
      </w:r>
      <w:r>
        <w:rPr>
          <w:rFonts w:hint="eastAsia" w:ascii="仿宋_GB2312" w:hAnsi="仿宋_GB2312" w:eastAsia="仿宋_GB2312" w:cs="仿宋_GB2312"/>
          <w:color w:val="auto"/>
          <w:sz w:val="32"/>
          <w:szCs w:val="32"/>
          <w:lang w:eastAsia="zh-CN"/>
        </w:rPr>
        <w:t>金额的比重），</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14:paraId="78D90B82">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588B92B">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1E8112F6">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7AAC99AD">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5058FFF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5129144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组织开展整体支出绩效评价，涉及一般公共预算支出299.18万元，政府性基金预算支出0万元，国有资本经营预算支出0万元。从评价情况来看，整体支出绩效评价中，2023年整体支出390.82万元，其中：基本支出</w:t>
      </w:r>
      <w:r>
        <w:rPr>
          <w:rFonts w:hint="eastAsia" w:ascii="仿宋_GB2312" w:hAnsi="����" w:eastAsia="仿宋_GB2312" w:cs="宋体"/>
          <w:color w:val="000000"/>
          <w:sz w:val="32"/>
          <w:szCs w:val="32"/>
          <w:lang w:val="en-US" w:eastAsia="zh-CN"/>
        </w:rPr>
        <w:t>325.38</w:t>
      </w:r>
      <w:r>
        <w:rPr>
          <w:rFonts w:hint="eastAsia" w:ascii="仿宋_GB2312" w:hAnsi="仿宋_GB2312" w:eastAsia="仿宋_GB2312" w:cs="仿宋_GB2312"/>
          <w:b w:val="0"/>
          <w:bCs w:val="0"/>
          <w:color w:val="000000"/>
          <w:kern w:val="0"/>
          <w:sz w:val="32"/>
          <w:szCs w:val="32"/>
          <w:lang w:val="en-US" w:eastAsia="zh-CN" w:bidi="ar-SA"/>
        </w:rPr>
        <w:t>万元，项目支出</w:t>
      </w:r>
      <w:r>
        <w:rPr>
          <w:rFonts w:hint="eastAsia" w:ascii="仿宋_GB2312" w:hAnsi="仿宋_GB2312" w:eastAsia="仿宋_GB2312" w:cs="仿宋_GB2312"/>
          <w:kern w:val="0"/>
          <w:sz w:val="32"/>
          <w:szCs w:val="32"/>
          <w:lang w:val="en-US" w:eastAsia="zh-CN" w:bidi="ar-SA"/>
        </w:rPr>
        <w:t>65.44</w:t>
      </w:r>
      <w:r>
        <w:rPr>
          <w:rFonts w:hint="eastAsia" w:ascii="仿宋_GB2312" w:hAnsi="仿宋_GB2312" w:eastAsia="仿宋_GB2312" w:cs="仿宋_GB2312"/>
          <w:b w:val="0"/>
          <w:bCs w:val="0"/>
          <w:color w:val="000000"/>
          <w:kern w:val="0"/>
          <w:sz w:val="32"/>
          <w:szCs w:val="32"/>
          <w:lang w:val="en-US" w:eastAsia="zh-CN" w:bidi="ar-SA"/>
        </w:rPr>
        <w:t>万元，本单位整体支出绩效自评综合评分</w:t>
      </w:r>
      <w:r>
        <w:rPr>
          <w:rFonts w:hint="eastAsia" w:ascii="仿宋_GB2312" w:hAnsi="仿宋_GB2312" w:eastAsia="仿宋_GB2312" w:cs="仿宋_GB2312"/>
          <w:sz w:val="32"/>
          <w:szCs w:val="32"/>
          <w:lang w:val="en-US" w:eastAsia="zh-CN"/>
        </w:rPr>
        <w:t>97.9</w:t>
      </w:r>
      <w:r>
        <w:rPr>
          <w:rFonts w:hint="eastAsia" w:ascii="仿宋_GB2312" w:hAnsi="仿宋_GB2312" w:eastAsia="仿宋_GB2312" w:cs="仿宋_GB2312"/>
          <w:b w:val="0"/>
          <w:bCs w:val="0"/>
          <w:color w:val="000000"/>
          <w:kern w:val="0"/>
          <w:sz w:val="32"/>
          <w:szCs w:val="32"/>
          <w:lang w:val="en-US" w:eastAsia="zh-CN" w:bidi="ar-SA"/>
        </w:rPr>
        <w:t>分，评价结果等次为好。</w:t>
      </w:r>
    </w:p>
    <w:p w14:paraId="151EEF5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18.1万元，占项目支出总额的27.66%。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从评价情况来看，项目绩效自评得分98分，评价结果等次为好。</w:t>
      </w:r>
    </w:p>
    <w:p w14:paraId="4BA53737">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40A0C716">
      <w:pPr>
        <w:pStyle w:val="9"/>
        <w:widowControl/>
        <w:spacing w:beforeAutospacing="0" w:afterAutospacing="0"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根据年初设定的绩效目标，绩效自评得分为9.9分。全年预算数为390.9万元，执行数为390.83万元，完成预算的99.98%。绩效目标完成情况：</w:t>
      </w:r>
      <w:r>
        <w:rPr>
          <w:rFonts w:hint="eastAsia" w:ascii="仿宋_GB2312" w:hAnsi="仿宋_GB2312" w:eastAsia="仿宋_GB2312" w:cs="仿宋_GB2312"/>
          <w:b w:val="0"/>
          <w:bCs w:val="0"/>
          <w:sz w:val="32"/>
          <w:szCs w:val="32"/>
          <w:lang w:val="en-US" w:eastAsia="zh-CN"/>
        </w:rPr>
        <w:t>一是优化营商环境，</w:t>
      </w:r>
      <w:r>
        <w:rPr>
          <w:rFonts w:hint="eastAsia" w:ascii="仿宋_GB2312" w:hAnsi="仿宋_GB2312" w:eastAsia="仿宋_GB2312" w:cs="宋体"/>
          <w:kern w:val="2"/>
          <w:sz w:val="32"/>
          <w:szCs w:val="32"/>
        </w:rPr>
        <w:t>主动深入企业开展服务</w:t>
      </w:r>
      <w:r>
        <w:rPr>
          <w:rFonts w:ascii="仿宋_GB2312" w:hAnsi="仿宋_GB2312" w:eastAsia="仿宋_GB2312" w:cs="宋体"/>
          <w:kern w:val="2"/>
          <w:sz w:val="32"/>
          <w:szCs w:val="32"/>
        </w:rPr>
        <w:t>2</w:t>
      </w:r>
      <w:r>
        <w:rPr>
          <w:rFonts w:hint="eastAsia" w:ascii="仿宋_GB2312" w:hAnsi="仿宋_GB2312" w:eastAsia="仿宋_GB2312" w:cs="宋体"/>
          <w:kern w:val="2"/>
          <w:sz w:val="32"/>
          <w:szCs w:val="32"/>
        </w:rPr>
        <w:t>00多家次，</w:t>
      </w:r>
      <w:r>
        <w:rPr>
          <w:rFonts w:hint="eastAsia" w:ascii="仿宋_GB2312" w:hAnsi="仿宋_GB2312" w:eastAsia="仿宋_GB2312" w:cs="仿宋_GB2312"/>
          <w:b w:val="0"/>
          <w:bCs w:val="0"/>
          <w:sz w:val="32"/>
          <w:szCs w:val="32"/>
          <w:lang w:val="en-US" w:eastAsia="zh-CN"/>
        </w:rPr>
        <w:t>全力促进高质量发展；二是开展食品及保健食品、药品、医疗器械、化妆品、特种设备、</w:t>
      </w:r>
      <w:r>
        <w:rPr>
          <w:rFonts w:hint="eastAsia" w:ascii="楷体_GB2312" w:hAnsi="楷体_GB2312" w:eastAsia="楷体_GB2312" w:cs="楷体_GB2312"/>
          <w:bCs/>
          <w:sz w:val="32"/>
          <w:szCs w:val="32"/>
          <w:lang w:bidi="ar"/>
        </w:rPr>
        <w:t>工业产品质量</w:t>
      </w:r>
      <w:r>
        <w:rPr>
          <w:rFonts w:hint="eastAsia" w:ascii="仿宋_GB2312" w:hAnsi="仿宋_GB2312" w:eastAsia="仿宋_GB2312" w:cs="仿宋_GB2312"/>
          <w:b w:val="0"/>
          <w:bCs w:val="0"/>
          <w:sz w:val="32"/>
          <w:szCs w:val="32"/>
          <w:lang w:val="en-US" w:eastAsia="zh-CN"/>
        </w:rPr>
        <w:t>监管；三是完成食品、药品等抽验工作；四是</w:t>
      </w:r>
      <w:r>
        <w:rPr>
          <w:rFonts w:hint="eastAsia" w:ascii="仿宋_GB2312" w:hAnsi="仿宋_GB2312" w:eastAsia="仿宋_GB2312" w:cs="仿宋_GB2312"/>
          <w:sz w:val="32"/>
          <w:szCs w:val="32"/>
          <w:lang w:bidi="ar"/>
        </w:rPr>
        <w:t>开展食品</w:t>
      </w:r>
      <w:r>
        <w:rPr>
          <w:rFonts w:hint="eastAsia" w:ascii="仿宋_GB2312" w:hAnsi="仿宋_GB2312" w:eastAsia="仿宋_GB2312" w:cs="仿宋_GB2312"/>
          <w:sz w:val="32"/>
          <w:szCs w:val="32"/>
          <w:lang w:val="en-US" w:eastAsia="zh-CN" w:bidi="ar"/>
        </w:rPr>
        <w:t>药品</w:t>
      </w:r>
      <w:r>
        <w:rPr>
          <w:rFonts w:hint="eastAsia" w:ascii="仿宋_GB2312" w:hAnsi="仿宋_GB2312" w:eastAsia="仿宋_GB2312" w:cs="仿宋_GB2312"/>
          <w:sz w:val="32"/>
          <w:szCs w:val="32"/>
          <w:lang w:bidi="ar"/>
        </w:rPr>
        <w:t>安全宣传活动</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val="en-US" w:eastAsia="zh-CN" w:bidi="ar"/>
        </w:rPr>
        <w:t>五</w:t>
      </w:r>
      <w:r>
        <w:rPr>
          <w:rFonts w:hint="eastAsia" w:ascii="仿宋_GB2312" w:hAnsi="仿宋_GB2312" w:eastAsia="仿宋_GB2312" w:cs="仿宋_GB2312"/>
          <w:b w:val="0"/>
          <w:bCs w:val="0"/>
          <w:sz w:val="32"/>
          <w:szCs w:val="32"/>
          <w:lang w:val="en-US" w:eastAsia="zh-CN"/>
        </w:rPr>
        <w:t>是强化消费维权，全力化解消费纠纷；六是实施商标品牌战略，强化知识产权保护</w:t>
      </w:r>
      <w:r>
        <w:rPr>
          <w:rFonts w:hint="eastAsia" w:ascii="仿宋_GB2312" w:hAnsi="仿宋_GB2312" w:eastAsia="仿宋_GB2312" w:cs="仿宋_GB2312"/>
          <w:b w:val="0"/>
          <w:bCs w:val="0"/>
          <w:color w:val="000000"/>
          <w:kern w:val="0"/>
          <w:sz w:val="32"/>
          <w:szCs w:val="32"/>
          <w:lang w:val="en-US" w:eastAsia="zh-CN" w:bidi="ar-SA"/>
        </w:rPr>
        <w:t>。</w:t>
      </w:r>
      <w:r>
        <w:rPr>
          <w:rFonts w:hint="eastAsia" w:ascii="仿宋_GB2312" w:hAnsi="仿宋_GB2312" w:eastAsia="仿宋_GB2312" w:cs="仿宋_GB2312"/>
          <w:b w:val="0"/>
          <w:bCs w:val="0"/>
          <w:sz w:val="32"/>
          <w:szCs w:val="32"/>
          <w:lang w:val="en-US" w:eastAsia="zh-CN"/>
        </w:rPr>
        <w:t>实现产出和取得效益的情况如下：</w:t>
      </w:r>
    </w:p>
    <w:p w14:paraId="19103D4B">
      <w:pPr>
        <w:spacing w:line="60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深化商事制度改革，做优做实营商环境和发展环境。立足已有条件，完善分局人员和设施配备，保障省、市下放的27项行政审批权限和48项复制推广改革事项在自贸片区全面承接到位。率先在全市推出市场主体登记注册“二维码”和群众自助申报“演示视频”，为群众办事带来更好体验感和便利度；率先在岳阳自贸片区颁发中国（湖南）自由贸易试验区第一张商业保理营业执照。今年发展市场主体1350户，其中企业1146户，个体204户。</w:t>
      </w:r>
    </w:p>
    <w:p w14:paraId="1F0C184D">
      <w:pPr>
        <w:spacing w:line="600" w:lineRule="exact"/>
        <w:ind w:firstLine="640" w:firstLineChars="200"/>
        <w:jc w:val="left"/>
        <w:rPr>
          <w:rFonts w:ascii="仿宋_GB2312" w:hAnsi="仿宋_GB2312" w:eastAsia="仿宋_GB2312"/>
          <w:color w:val="0000FF"/>
          <w:sz w:val="32"/>
        </w:rPr>
      </w:pPr>
      <w:r>
        <w:rPr>
          <w:rFonts w:hint="eastAsia" w:ascii="楷体_GB2312" w:hAnsi="楷体_GB2312" w:eastAsia="楷体_GB2312" w:cs="楷体_GB2312"/>
          <w:bCs/>
          <w:sz w:val="32"/>
          <w:szCs w:val="32"/>
          <w:lang w:val="en-US" w:eastAsia="zh-CN"/>
        </w:rPr>
        <w:t>2、</w:t>
      </w:r>
      <w:r>
        <w:rPr>
          <w:rFonts w:hint="eastAsia" w:ascii="楷体_GB2312" w:hAnsi="楷体_GB2312" w:eastAsia="楷体_GB2312" w:cs="楷体_GB2312"/>
          <w:bCs/>
          <w:sz w:val="32"/>
          <w:szCs w:val="32"/>
        </w:rPr>
        <w:t>建好用好风补资金，争取更多社会资本支持实体企业。</w:t>
      </w:r>
      <w:r>
        <w:rPr>
          <w:rFonts w:hint="eastAsia" w:ascii="仿宋_GB2312" w:hAnsi="仿宋_GB2312" w:eastAsia="仿宋_GB2312" w:cs="仿宋_GB2312"/>
          <w:sz w:val="32"/>
          <w:szCs w:val="32"/>
          <w:lang w:bidi="ar"/>
        </w:rPr>
        <w:t>加强知识产权质押融资政策供给，“以知换资”激发市场主体活力，</w:t>
      </w:r>
      <w:r>
        <w:rPr>
          <w:rFonts w:hint="eastAsia" w:ascii="仿宋_GB2312" w:hAnsi="仿宋_GB2312" w:eastAsia="仿宋_GB2312" w:cs="仿宋_GB2312"/>
          <w:sz w:val="32"/>
          <w:szCs w:val="32"/>
        </w:rPr>
        <w:t>岳阳自贸片区形成“市场化的知识产权质押融资风险补偿机制”，2023年1月被国家知识产权局办公室等部门联合发文推广，2023年12月被湖南省政府发文表扬，帮助分局</w:t>
      </w:r>
      <w:r>
        <w:rPr>
          <w:rFonts w:hint="eastAsia" w:ascii="仿宋_GB2312" w:hAnsi="仿宋_GB2312" w:eastAsia="仿宋_GB2312" w:cs="仿宋_GB2312"/>
          <w:kern w:val="2"/>
          <w:sz w:val="32"/>
          <w:szCs w:val="32"/>
        </w:rPr>
        <w:t>成功申报省级园区中小企业转化项目并争取到100万项目资金。2023年12月28日，在国家知识产权局办公室公布的首批参加“千企百城”商标品牌价值提升行动名单中，岳阳市1个商标品牌指导站和4个品牌榜上有名，新港区占2个，新港区市场监管分局作为“建设单位”的湖南省知识产权综合服务（岳阳）分中心入选“商标品牌指导站”，岳阳林纸股份有限公司的“天岳”入选“企业商标品牌”。</w:t>
      </w:r>
    </w:p>
    <w:p w14:paraId="2E0D0256">
      <w:pPr>
        <w:pStyle w:val="2"/>
        <w:spacing w:line="600" w:lineRule="exact"/>
        <w:ind w:firstLine="640" w:firstLineChars="200"/>
        <w:jc w:val="left"/>
        <w:rPr>
          <w:rFonts w:ascii="仿宋_GB2312" w:hAnsi="仿宋_GB2312" w:eastAsia="仿宋_GB2312" w:cs="仿宋_GB2312"/>
          <w:sz w:val="32"/>
          <w:szCs w:val="32"/>
          <w:lang w:eastAsia="zh-CN"/>
        </w:rPr>
      </w:pPr>
      <w:r>
        <w:rPr>
          <w:rFonts w:hint="eastAsia" w:ascii="楷体_GB2312" w:hAnsi="楷体_GB2312" w:eastAsia="楷体_GB2312" w:cs="楷体_GB2312"/>
          <w:bCs/>
          <w:kern w:val="2"/>
          <w:sz w:val="32"/>
          <w:szCs w:val="32"/>
          <w:lang w:val="en-US" w:eastAsia="zh-CN"/>
        </w:rPr>
        <w:t>3、</w:t>
      </w:r>
      <w:r>
        <w:rPr>
          <w:rFonts w:hint="eastAsia" w:ascii="楷体_GB2312" w:hAnsi="楷体_GB2312" w:eastAsia="楷体_GB2312" w:cs="楷体_GB2312"/>
          <w:bCs/>
          <w:kern w:val="2"/>
          <w:sz w:val="32"/>
          <w:szCs w:val="32"/>
          <w:lang w:eastAsia="zh-CN"/>
        </w:rPr>
        <w:t>狠抓知产赋能工作，助推科技型中小微企业创新发展。</w:t>
      </w:r>
      <w:r>
        <w:rPr>
          <w:rFonts w:hint="eastAsia" w:ascii="仿宋_GB2312" w:hAnsi="仿宋_GB2312" w:eastAsia="仿宋_GB2312" w:cs="仿宋_GB2312"/>
          <w:kern w:val="2"/>
          <w:sz w:val="32"/>
          <w:szCs w:val="32"/>
          <w:lang w:eastAsia="zh-CN"/>
        </w:rPr>
        <w:t>2023年1-11月，全区授权专利327，其中发明专利授权70件，同比增长70.73%，有效发明专利总量为312件，万人拥有量为94.833，排名全市第一。湖南中创空天新材料有限公司获批国家知识产权优势企业；湖南砼微新材料有限公司和湖南哈工聚能科技有限公司成功申请并授权2件PCT专利，新港区PCT专利实现“破零”；岳阳林纸股份有限公司的发明专利“一种棁水棁冻牛皮纸的制造方法”已通过湖南省专利奖初审；湖南六九零六信息科技股份有限公司、湖南中创空天新材料股份有限公司、际华橡胶工业有限公司3家企业获得省知识产权保护中心预审备案资格。目前全区共有国家知识产权优势企业2家，省级商业秘密保护示范企业（站）3个，国家企业品牌1个，国际PCT专利2件等荣誉。</w:t>
      </w:r>
      <w:r>
        <w:rPr>
          <w:rFonts w:hint="eastAsia" w:ascii="仿宋_GB2312" w:hAnsi="仿宋_GB2312" w:eastAsia="仿宋_GB2312" w:cs="仿宋_GB2312"/>
          <w:sz w:val="32"/>
          <w:szCs w:val="32"/>
          <w:lang w:eastAsia="zh-CN"/>
        </w:rPr>
        <w:t>2023年，新港区海外专利实现零的突破，共授权2件国外专利PCT。</w:t>
      </w:r>
    </w:p>
    <w:p w14:paraId="441F7835">
      <w:pPr>
        <w:topLinePunct/>
        <w:spacing w:line="600" w:lineRule="exact"/>
        <w:ind w:firstLine="640" w:firstLineChars="200"/>
        <w:jc w:val="left"/>
        <w:rPr>
          <w:rFonts w:ascii="仿宋_GB2312" w:hAnsi="仿宋_GB2312" w:eastAsia="仿宋_GB2312" w:cs="仿宋_GB2312"/>
          <w:sz w:val="32"/>
          <w:szCs w:val="32"/>
          <w:lang w:bidi="ar"/>
        </w:rPr>
      </w:pPr>
      <w:r>
        <w:rPr>
          <w:rFonts w:hint="eastAsia" w:ascii="楷体_GB2312" w:hAnsi="楷体_GB2312" w:eastAsia="楷体_GB2312" w:cs="楷体_GB2312"/>
          <w:bCs/>
          <w:sz w:val="32"/>
          <w:szCs w:val="32"/>
          <w:lang w:val="en-US" w:eastAsia="zh-CN" w:bidi="ar"/>
        </w:rPr>
        <w:t>4、</w:t>
      </w:r>
      <w:r>
        <w:rPr>
          <w:rFonts w:hint="eastAsia" w:ascii="楷体_GB2312" w:hAnsi="楷体_GB2312" w:eastAsia="楷体_GB2312" w:cs="楷体_GB2312"/>
          <w:bCs/>
          <w:sz w:val="32"/>
          <w:szCs w:val="32"/>
          <w:lang w:bidi="ar"/>
        </w:rPr>
        <w:t>加强食品和药品安全监管，守护群众舌尖安全。</w:t>
      </w:r>
      <w:r>
        <w:rPr>
          <w:rFonts w:hint="eastAsia" w:ascii="仿宋_GB2312" w:hAnsi="仿宋_GB2312" w:eastAsia="仿宋_GB2312" w:cs="仿宋_GB2312"/>
          <w:sz w:val="32"/>
          <w:szCs w:val="32"/>
          <w:lang w:bidi="ar"/>
        </w:rPr>
        <w:t>今年来，分局扎实推进食品安全“两个责任”机制工作落实，先后开展了“反食品浪费暨文明餐桌公益宣传”“517预防野生蘑菇中毒宣传日”“特殊食品科普宣传”等食品</w:t>
      </w:r>
      <w:r>
        <w:rPr>
          <w:rFonts w:hint="eastAsia" w:ascii="仿宋_GB2312" w:hAnsi="仿宋_GB2312" w:eastAsia="仿宋_GB2312" w:cs="仿宋_GB2312"/>
          <w:sz w:val="32"/>
          <w:szCs w:val="32"/>
          <w:lang w:val="en-US" w:eastAsia="zh-CN" w:bidi="ar"/>
        </w:rPr>
        <w:t>药品</w:t>
      </w:r>
      <w:r>
        <w:rPr>
          <w:rFonts w:hint="eastAsia" w:ascii="仿宋_GB2312" w:hAnsi="仿宋_GB2312" w:eastAsia="仿宋_GB2312" w:cs="仿宋_GB2312"/>
          <w:sz w:val="32"/>
          <w:szCs w:val="32"/>
          <w:lang w:bidi="ar"/>
        </w:rPr>
        <w:t>安全宣传活动，通过政策宣贯</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日常监管</w:t>
      </w:r>
      <w:r>
        <w:rPr>
          <w:rFonts w:hint="eastAsia" w:ascii="仿宋_GB2312" w:hAnsi="仿宋_GB2312" w:eastAsia="仿宋_GB2312" w:cs="仿宋_GB2312"/>
          <w:sz w:val="32"/>
          <w:szCs w:val="32"/>
          <w:lang w:val="en-US" w:eastAsia="zh-CN" w:bidi="ar"/>
        </w:rPr>
        <w:t>和</w:t>
      </w:r>
      <w:r>
        <w:rPr>
          <w:rFonts w:hint="eastAsia" w:ascii="仿宋_GB2312" w:hAnsi="仿宋_GB2312" w:eastAsia="仿宋_GB2312" w:cs="仿宋_GB2312"/>
          <w:sz w:val="32"/>
          <w:szCs w:val="32"/>
          <w:lang w:bidi="ar"/>
        </w:rPr>
        <w:t>从业人员进行专业知识培训，进一步压紧压实药品、医疗器械零售企业主体责任，同时加强重点品种监督抽检和常态化药品、化妆品、医疗器械监管。今年来，我局监管覆盖率达到了100%，通过日常监督及专项检查，下达责令改正通知书18份，食品相关行政指导200余次。全年无无重大安全事故。</w:t>
      </w:r>
    </w:p>
    <w:p w14:paraId="0653505D">
      <w:pPr>
        <w:topLinePunct/>
        <w:spacing w:line="600" w:lineRule="exact"/>
        <w:ind w:firstLine="640" w:firstLineChars="200"/>
        <w:jc w:val="left"/>
        <w:rPr>
          <w:rFonts w:ascii="仿宋_GB2312" w:hAnsi="仿宋_GB2312" w:eastAsia="仿宋_GB2312" w:cs="仿宋_GB2312"/>
          <w:sz w:val="32"/>
          <w:szCs w:val="32"/>
        </w:rPr>
      </w:pPr>
      <w:r>
        <w:rPr>
          <w:rFonts w:hint="eastAsia" w:ascii="楷体_GB2312" w:hAnsi="楷体_GB2312" w:eastAsia="楷体_GB2312" w:cs="楷体_GB2312"/>
          <w:bCs/>
          <w:sz w:val="32"/>
          <w:szCs w:val="32"/>
          <w:lang w:val="en-US" w:eastAsia="zh-CN" w:bidi="ar"/>
        </w:rPr>
        <w:t>5、</w:t>
      </w:r>
      <w:r>
        <w:rPr>
          <w:rFonts w:hint="eastAsia" w:ascii="楷体_GB2312" w:hAnsi="楷体_GB2312" w:eastAsia="楷体_GB2312" w:cs="楷体_GB2312"/>
          <w:bCs/>
          <w:sz w:val="32"/>
          <w:szCs w:val="32"/>
          <w:lang w:bidi="ar"/>
        </w:rPr>
        <w:t>加强特种设备和工业产品质量监管，夯实安全生产基础。</w:t>
      </w:r>
      <w:r>
        <w:rPr>
          <w:rFonts w:hint="eastAsia" w:ascii="仿宋_GB2312" w:hAnsi="仿宋_GB2312" w:eastAsia="仿宋_GB2312" w:cs="仿宋_GB2312"/>
          <w:sz w:val="32"/>
          <w:szCs w:val="32"/>
        </w:rPr>
        <w:t>今年我们围绕电梯、叉车、集装箱码头起重设备、加氢站等重点对象，开展日常监管监察，实现全覆盖监管、全方位整治；针对商场超市电取暖器、燃气灶具、电动自行车等质量安全风险高的重点工业产品进行监督检查,重点整治不按规定出具合格证、产品质量不符合标准要求,以及无证生产和超范围生产等质量违法行为。今年来，我们组织开展2场大型港区“百家企业学法”专题讲座，向特种设备使用单位宣贯了国家总局73号、74号令和法律法规常识，通过监督检查发现安全隐患73起，立案5起，结案5起，开展工业产品质量双随机一公开监管及车检机构检查，发现违法行为1起，立案1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起。</w:t>
      </w:r>
    </w:p>
    <w:p w14:paraId="53EAA8FC">
      <w:pPr>
        <w:pStyle w:val="15"/>
        <w:widowControl/>
        <w:snapToGrid w:val="0"/>
        <w:spacing w:line="600" w:lineRule="exact"/>
        <w:ind w:firstLine="640"/>
        <w:jc w:val="left"/>
        <w:rPr>
          <w:rFonts w:hint="eastAsia" w:ascii="仿宋_GB2312" w:hAnsi="仿宋_GB2312" w:eastAsia="仿宋_GB2312" w:cs="仿宋_GB2312"/>
          <w:sz w:val="32"/>
          <w:szCs w:val="32"/>
        </w:rPr>
      </w:pPr>
      <w:r>
        <w:rPr>
          <w:rFonts w:hint="eastAsia" w:ascii="楷体_GB2312" w:hAnsi="楷体_GB2312" w:eastAsia="楷体_GB2312" w:cs="楷体_GB2312"/>
          <w:bCs/>
          <w:sz w:val="32"/>
          <w:szCs w:val="32"/>
          <w:lang w:val="en-US" w:eastAsia="zh-CN" w:bidi="ar"/>
        </w:rPr>
        <w:t>6、</w:t>
      </w:r>
      <w:r>
        <w:rPr>
          <w:rFonts w:hint="eastAsia" w:ascii="楷体_GB2312" w:hAnsi="楷体_GB2312" w:eastAsia="楷体_GB2312" w:cs="楷体_GB2312"/>
          <w:bCs/>
          <w:sz w:val="32"/>
          <w:szCs w:val="32"/>
          <w:lang w:bidi="ar"/>
        </w:rPr>
        <w:t>加强投诉处理和涉外消费维权，营造放心消费环境。</w:t>
      </w:r>
      <w:r>
        <w:rPr>
          <w:rFonts w:hint="eastAsia" w:ascii="仿宋_GB2312" w:hAnsi="仿宋_GB2312" w:eastAsia="仿宋_GB2312" w:cs="仿宋_GB2312"/>
          <w:sz w:val="32"/>
          <w:szCs w:val="32"/>
        </w:rPr>
        <w:t>为提振群众消费信心、营造放心消费环境，我们深入消费者投诉热点地域临港汽车城，想办法把消费解决在销售环节，主动化解消费纠纷，同时深入超市门店，就商品包装、食品保质期、标签等容易被职业打假人利用的方面，进行帮带指导，避免遭职业打假人索赔，全力维护消费市场秩序。今年来，</w:t>
      </w:r>
      <w:r>
        <w:rPr>
          <w:rFonts w:hint="eastAsia" w:ascii="仿宋_GB2312" w:hAnsi="宋体" w:eastAsia="仿宋_GB2312" w:cs="仿宋_GB2312"/>
          <w:color w:val="000000"/>
          <w:sz w:val="31"/>
          <w:szCs w:val="31"/>
          <w:shd w:val="clear" w:color="auto" w:fill="FFFFFF"/>
        </w:rPr>
        <w:t>共受理各类消费投诉、咨询、举报、信访725起，</w:t>
      </w:r>
      <w:r>
        <w:rPr>
          <w:rFonts w:hint="eastAsia" w:ascii="仿宋_GB2312" w:hAnsi="仿宋_GB2312" w:eastAsia="仿宋_GB2312" w:cs="仿宋_GB2312"/>
          <w:sz w:val="32"/>
          <w:szCs w:val="32"/>
        </w:rPr>
        <w:t>市长信箱、信访件13件，</w:t>
      </w:r>
      <w:r>
        <w:rPr>
          <w:rFonts w:hint="eastAsia" w:ascii="仿宋_GB2312" w:hAnsi="宋体" w:eastAsia="仿宋_GB2312" w:cs="仿宋_GB2312"/>
          <w:color w:val="000000"/>
          <w:sz w:val="31"/>
          <w:szCs w:val="31"/>
          <w:shd w:val="clear" w:color="auto" w:fill="FFFFFF"/>
        </w:rPr>
        <w:t>办结率100%，共为消费者挽回经济损失88.6余万元；12315效能评估排在全市第一位。</w:t>
      </w:r>
      <w:r>
        <w:rPr>
          <w:rFonts w:hint="eastAsia" w:ascii="仿宋_GB2312" w:hAnsi="仿宋_GB2312" w:eastAsia="仿宋_GB2312" w:cs="仿宋_GB2312"/>
          <w:sz w:val="32"/>
          <w:szCs w:val="32"/>
        </w:rPr>
        <w:t>为解决消费者“买全球”的后顾之忧，我们充分发挥涉外消费维权服务站作用，今年来，共处理跨境商品消费维权894件，为消费者挽回经济损失390.15万元。</w:t>
      </w:r>
    </w:p>
    <w:p w14:paraId="794456DD">
      <w:pPr>
        <w:pStyle w:val="14"/>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存在的问题及原因分析</w:t>
      </w:r>
    </w:p>
    <w:p w14:paraId="74B0F37F">
      <w:pPr>
        <w:pStyle w:val="9"/>
        <w:widowControl/>
        <w:spacing w:beforeAutospacing="0" w:afterAutospacing="0" w:line="560" w:lineRule="exact"/>
        <w:ind w:firstLine="640" w:firstLineChars="200"/>
        <w:rPr>
          <w:rFonts w:hint="eastAsia" w:ascii="楷体" w:hAnsi="楷体" w:eastAsia="楷体" w:cs="楷体"/>
          <w:b/>
          <w:bCs/>
          <w:sz w:val="32"/>
          <w:szCs w:val="32"/>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r>
        <w:rPr>
          <w:rFonts w:hint="eastAsia" w:ascii="仿宋_GB2312" w:hAnsi="仿宋_GB2312" w:eastAsia="仿宋_GB2312" w:cs="仿宋_GB2312"/>
          <w:b w:val="0"/>
          <w:bCs w:val="0"/>
          <w:sz w:val="32"/>
          <w:szCs w:val="32"/>
          <w:lang w:val="en-US" w:eastAsia="zh-CN"/>
        </w:rPr>
        <w:t>一是</w:t>
      </w:r>
      <w:r>
        <w:rPr>
          <w:rFonts w:hint="eastAsia" w:ascii="Times New Roman" w:hAnsi="Times New Roman" w:eastAsia="仿宋_GB2312" w:cs="Times New Roman"/>
          <w:color w:val="000000"/>
          <w:kern w:val="0"/>
          <w:sz w:val="32"/>
          <w:szCs w:val="32"/>
          <w:lang w:val="en-US" w:eastAsia="zh-CN" w:bidi="ar-SA"/>
        </w:rPr>
        <w:t>预算编制与实际支出项目方面，存在差异</w:t>
      </w:r>
      <w:r>
        <w:rPr>
          <w:rFonts w:hint="eastAsia" w:ascii="仿宋_GB2312" w:hAnsi="仿宋_GB2312" w:eastAsia="仿宋_GB2312" w:cs="仿宋_GB2312"/>
          <w:b w:val="0"/>
          <w:bCs w:val="0"/>
          <w:sz w:val="32"/>
          <w:szCs w:val="32"/>
          <w:lang w:val="en-US" w:eastAsia="zh-CN"/>
        </w:rPr>
        <w:t>；二是</w:t>
      </w:r>
      <w:r>
        <w:rPr>
          <w:rFonts w:hint="eastAsia" w:ascii="Arial" w:hAnsi="Arial" w:eastAsia="仿宋_GB2312" w:cs="仿宋_GB2312"/>
          <w:kern w:val="0"/>
          <w:sz w:val="32"/>
          <w:szCs w:val="32"/>
          <w:lang w:val="en-US" w:eastAsia="zh-CN" w:bidi="ar-SA"/>
        </w:rPr>
        <w:t>绩效管理方面，有待提高</w:t>
      </w: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仿宋_GB2312" w:hAnsi="仿宋_GB2312" w:eastAsia="仿宋_GB2312" w:cs="仿宋_GB2312"/>
          <w:kern w:val="2"/>
          <w:sz w:val="32"/>
          <w:szCs w:val="32"/>
        </w:rPr>
        <w:t>一是严格按照预算编制要求，紧密结合分局实际需求，在充分论证的基础上，对部门整体预算各项经费收支进行分类细化、精准测算，确实做到“应编尽编、精确细化”。二是严格落实专项经费使用管理规定，做到专款专用;同时按规定要求组织对</w:t>
      </w:r>
      <w:r>
        <w:rPr>
          <w:rFonts w:hint="eastAsia" w:ascii="仿宋_GB2312" w:hAnsi="仿宋_GB2312" w:eastAsia="仿宋_GB2312" w:cs="仿宋_GB2312"/>
          <w:kern w:val="2"/>
          <w:sz w:val="32"/>
          <w:szCs w:val="32"/>
          <w:lang w:val="en-US" w:eastAsia="zh-CN"/>
        </w:rPr>
        <w:t>我</w:t>
      </w:r>
      <w:r>
        <w:rPr>
          <w:rFonts w:hint="eastAsia" w:ascii="仿宋_GB2312" w:hAnsi="仿宋_GB2312" w:eastAsia="仿宋_GB2312" w:cs="仿宋_GB2312"/>
          <w:kern w:val="2"/>
          <w:sz w:val="32"/>
          <w:szCs w:val="32"/>
        </w:rPr>
        <w:t>局年度预算进行及时调整追加，以保证预算执行准确，提高预算管理质效。三是严格按照预算绩效管理要求，对各项目预算绩效目标执行情况进行跟踪监管，并定期开展预算执行情况分析，确保预算绩效目标执行到位。</w:t>
      </w:r>
    </w:p>
    <w:p w14:paraId="4E89A9D2">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278958D7">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444974F6">
      <w:pPr>
        <w:numPr>
          <w:ilvl w:val="0"/>
          <w:numId w:val="0"/>
        </w:numPr>
        <w:autoSpaceDE w:val="0"/>
        <w:autoSpaceDN w:val="0"/>
        <w:adjustRightInd w:val="0"/>
        <w:jc w:val="left"/>
        <w:rPr>
          <w:rFonts w:hint="default" w:ascii="楷体" w:hAnsi="楷体" w:eastAsia="楷体" w:cs="楷体"/>
          <w:b/>
          <w:bCs/>
          <w:i w:val="0"/>
          <w:iCs w:val="0"/>
          <w:color w:val="FF0000"/>
          <w:kern w:val="0"/>
          <w:sz w:val="36"/>
          <w:szCs w:val="36"/>
          <w:lang w:val="en-US" w:eastAsia="zh-CN"/>
        </w:rPr>
      </w:pPr>
    </w:p>
    <w:p w14:paraId="5B49E7C3">
      <w:pPr>
        <w:pStyle w:val="14"/>
        <w:jc w:val="both"/>
        <w:rPr>
          <w:sz w:val="72"/>
          <w:szCs w:val="72"/>
        </w:rPr>
      </w:pPr>
    </w:p>
    <w:p w14:paraId="638068C8">
      <w:pPr>
        <w:pStyle w:val="14"/>
        <w:jc w:val="center"/>
        <w:rPr>
          <w:sz w:val="72"/>
          <w:szCs w:val="72"/>
        </w:rPr>
      </w:pPr>
    </w:p>
    <w:p w14:paraId="68DAC6EA">
      <w:pPr>
        <w:pStyle w:val="14"/>
        <w:jc w:val="center"/>
        <w:rPr>
          <w:rFonts w:hint="eastAsia" w:ascii="方正小标宋_GBK" w:hAnsi="方正小标宋_GBK" w:eastAsia="方正小标宋_GBK" w:cs="方正小标宋_GBK"/>
          <w:sz w:val="70"/>
          <w:szCs w:val="70"/>
          <w:lang w:eastAsia="zh-CN"/>
        </w:rPr>
      </w:pPr>
    </w:p>
    <w:p w14:paraId="32ACF878">
      <w:pPr>
        <w:pStyle w:val="14"/>
        <w:jc w:val="center"/>
        <w:rPr>
          <w:rFonts w:hint="eastAsia" w:ascii="方正小标宋_GBK" w:hAnsi="方正小标宋_GBK" w:eastAsia="方正小标宋_GBK" w:cs="方正小标宋_GBK"/>
          <w:sz w:val="70"/>
          <w:szCs w:val="70"/>
          <w:lang w:eastAsia="zh-CN"/>
        </w:rPr>
      </w:pPr>
    </w:p>
    <w:p w14:paraId="47DD4768">
      <w:pPr>
        <w:pStyle w:val="14"/>
        <w:jc w:val="center"/>
        <w:rPr>
          <w:rFonts w:hint="eastAsia" w:ascii="方正小标宋_GBK" w:hAnsi="方正小标宋_GBK" w:eastAsia="方正小标宋_GBK" w:cs="方正小标宋_GBK"/>
          <w:sz w:val="72"/>
          <w:szCs w:val="72"/>
        </w:rPr>
      </w:pPr>
    </w:p>
    <w:p w14:paraId="321737D2">
      <w:pPr>
        <w:pStyle w:val="14"/>
        <w:jc w:val="center"/>
        <w:rPr>
          <w:rFonts w:hint="eastAsia" w:ascii="方正小标宋_GBK" w:hAnsi="方正小标宋_GBK" w:eastAsia="方正小标宋_GBK" w:cs="方正小标宋_GBK"/>
          <w:sz w:val="72"/>
          <w:szCs w:val="72"/>
        </w:rPr>
      </w:pPr>
    </w:p>
    <w:p w14:paraId="68FB81BF">
      <w:pPr>
        <w:pStyle w:val="14"/>
        <w:jc w:val="both"/>
        <w:rPr>
          <w:rFonts w:hint="eastAsia" w:ascii="方正小标宋_GBK" w:hAnsi="方正小标宋_GBK" w:eastAsia="方正小标宋_GBK" w:cs="方正小标宋_GBK"/>
          <w:sz w:val="72"/>
          <w:szCs w:val="72"/>
        </w:rPr>
      </w:pPr>
    </w:p>
    <w:p w14:paraId="0F0062A4">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A815834">
      <w:pPr>
        <w:jc w:val="center"/>
        <w:rPr>
          <w:rFonts w:hint="eastAsia" w:ascii="方正小标宋_GBK" w:hAnsi="方正小标宋_GBK" w:eastAsia="方正小标宋_GBK" w:cs="方正小标宋_GBK"/>
          <w:color w:val="000000"/>
          <w:kern w:val="0"/>
          <w:sz w:val="70"/>
          <w:szCs w:val="70"/>
        </w:rPr>
      </w:pPr>
    </w:p>
    <w:p w14:paraId="7E30FA48">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2436BAD">
      <w:pPr>
        <w:pStyle w:val="8"/>
      </w:pPr>
    </w:p>
    <w:p w14:paraId="0544166D">
      <w:pPr>
        <w:pStyle w:val="4"/>
      </w:pPr>
    </w:p>
    <w:p w14:paraId="6E995FEC"/>
    <w:p w14:paraId="290A3F24">
      <w:pPr>
        <w:pStyle w:val="8"/>
      </w:pPr>
    </w:p>
    <w:p w14:paraId="029CC4E2">
      <w:pPr>
        <w:pStyle w:val="4"/>
      </w:pPr>
    </w:p>
    <w:p w14:paraId="4F1BA68F"/>
    <w:p w14:paraId="72569E0D">
      <w:pPr>
        <w:pStyle w:val="8"/>
      </w:pPr>
    </w:p>
    <w:p w14:paraId="2DDF1D46">
      <w:pPr>
        <w:pStyle w:val="4"/>
      </w:pPr>
    </w:p>
    <w:p w14:paraId="6AABA892"/>
    <w:p w14:paraId="0A242FEF">
      <w:pPr>
        <w:pStyle w:val="8"/>
      </w:pPr>
    </w:p>
    <w:p w14:paraId="354C42C0">
      <w:pPr>
        <w:pStyle w:val="4"/>
      </w:pPr>
    </w:p>
    <w:p w14:paraId="62594AC2"/>
    <w:p w14:paraId="322430CA">
      <w:pPr>
        <w:pStyle w:val="8"/>
      </w:pPr>
    </w:p>
    <w:p w14:paraId="6AAA825F">
      <w:pPr>
        <w:pStyle w:val="4"/>
      </w:pPr>
    </w:p>
    <w:p w14:paraId="40905FC4"/>
    <w:p w14:paraId="5ECA5416">
      <w:pPr>
        <w:pStyle w:val="8"/>
      </w:pPr>
    </w:p>
    <w:p w14:paraId="0EB78654">
      <w:pPr>
        <w:pStyle w:val="4"/>
      </w:pPr>
    </w:p>
    <w:p w14:paraId="3C63A82C"/>
    <w:p w14:paraId="18B969EE">
      <w:pPr>
        <w:pStyle w:val="8"/>
      </w:pPr>
    </w:p>
    <w:p w14:paraId="6AAA1CA5">
      <w:pPr>
        <w:pStyle w:val="4"/>
      </w:pPr>
    </w:p>
    <w:p w14:paraId="06B51FAA"/>
    <w:p w14:paraId="685CD017">
      <w:pPr>
        <w:pStyle w:val="8"/>
      </w:pPr>
    </w:p>
    <w:p w14:paraId="5372F90F">
      <w:pPr>
        <w:pStyle w:val="4"/>
      </w:pPr>
    </w:p>
    <w:p w14:paraId="514775CE">
      <w:pPr>
        <w:pStyle w:val="4"/>
        <w:ind w:left="0" w:leftChars="0" w:firstLine="0" w:firstLineChars="0"/>
      </w:pPr>
    </w:p>
    <w:p w14:paraId="5152B55F"/>
    <w:p w14:paraId="458628E4">
      <w:pPr>
        <w:pStyle w:val="8"/>
      </w:pPr>
    </w:p>
    <w:p w14:paraId="3D52D57E">
      <w:pPr>
        <w:ind w:firstLine="640" w:firstLineChars="200"/>
        <w:jc w:val="left"/>
        <w:rPr>
          <w:rFonts w:hint="eastAsia" w:ascii="仿宋_GB2312" w:hAnsi="仿宋_GB2312" w:eastAsia="仿宋_GB2312" w:cs="仿宋_GB2312"/>
          <w:color w:val="000000"/>
          <w:kern w:val="0"/>
          <w:sz w:val="32"/>
          <w:szCs w:val="32"/>
        </w:rPr>
      </w:pPr>
    </w:p>
    <w:p w14:paraId="07DEDFD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02AF8E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49193A8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三、财政拨款收入：是指市级财政当年拨付的资金。</w:t>
      </w:r>
    </w:p>
    <w:p w14:paraId="59AE544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四</w:t>
      </w:r>
      <w:r>
        <w:rPr>
          <w:rFonts w:hint="eastAsia" w:ascii="仿宋_GB2312" w:hAnsi="仿宋_GB2312" w:eastAsia="仿宋_GB2312" w:cs="仿宋_GB2312"/>
          <w:color w:val="000000"/>
          <w:kern w:val="0"/>
          <w:sz w:val="32"/>
          <w:szCs w:val="32"/>
        </w:rPr>
        <w:t>、年初结转和结余：是指以前年度支出预算因客观条件变化未执行完毕、结转到本年度按有关规定继续使用的资金。</w:t>
      </w:r>
    </w:p>
    <w:p w14:paraId="019160C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五</w:t>
      </w:r>
      <w:r>
        <w:rPr>
          <w:rFonts w:hint="eastAsia" w:ascii="仿宋_GB2312" w:hAnsi="仿宋_GB2312" w:eastAsia="仿宋_GB2312" w:cs="仿宋_GB2312"/>
          <w:color w:val="000000"/>
          <w:kern w:val="0"/>
          <w:sz w:val="32"/>
          <w:szCs w:val="32"/>
        </w:rPr>
        <w:t>、基本支出：是指为保障机构正常运转、完成日常工作任务所必需的开支，其内容包括人员经费和日常公用经费两部分。</w:t>
      </w:r>
    </w:p>
    <w:p w14:paraId="7EA4DE8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六</w:t>
      </w:r>
      <w:r>
        <w:rPr>
          <w:rFonts w:hint="eastAsia" w:ascii="仿宋_GB2312" w:hAnsi="仿宋_GB2312" w:eastAsia="仿宋_GB2312" w:cs="仿宋_GB2312"/>
          <w:color w:val="000000"/>
          <w:kern w:val="0"/>
          <w:sz w:val="32"/>
          <w:szCs w:val="32"/>
        </w:rPr>
        <w:t>、项目支出：是指在基本支出之外，为完成特定的行政工作任务或事业发展目标所发生的支出。</w:t>
      </w:r>
    </w:p>
    <w:p w14:paraId="72753068">
      <w:pPr>
        <w:ind w:firstLine="640" w:firstLineChars="200"/>
        <w:jc w:val="left"/>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rPr>
        <w:t>七</w:t>
      </w:r>
      <w:r>
        <w:rPr>
          <w:rFonts w:hint="eastAsia" w:ascii="仿宋_GB2312" w:hAnsi="仿宋_GB2312" w:eastAsia="仿宋_GB2312" w:cs="仿宋_GB2312"/>
          <w:color w:val="000000"/>
          <w:kern w:val="0"/>
          <w:sz w:val="32"/>
          <w:szCs w:val="32"/>
        </w:rPr>
        <w:t>、一般公共服务（类）：是指用于保障机构正常运行、开展业务等活动的支出。行政运行（项）：是指为保障市委政法委各行政机构正常运转、完成日常工作任务安排的支出。</w:t>
      </w:r>
    </w:p>
    <w:p w14:paraId="78D2402F"/>
    <w:p w14:paraId="06F27BD2">
      <w:pPr>
        <w:pStyle w:val="8"/>
      </w:pPr>
    </w:p>
    <w:p w14:paraId="61CD7F03">
      <w:pPr>
        <w:pStyle w:val="4"/>
      </w:pPr>
    </w:p>
    <w:p w14:paraId="0800D16A"/>
    <w:p w14:paraId="3BE82F49">
      <w:pPr>
        <w:pStyle w:val="8"/>
      </w:pPr>
    </w:p>
    <w:p w14:paraId="10915427">
      <w:pPr>
        <w:pStyle w:val="4"/>
      </w:pPr>
    </w:p>
    <w:p w14:paraId="4CCF6069"/>
    <w:p w14:paraId="71F2C56A">
      <w:pPr>
        <w:pStyle w:val="8"/>
      </w:pPr>
    </w:p>
    <w:p w14:paraId="14E56C8A">
      <w:pPr>
        <w:pStyle w:val="4"/>
      </w:pPr>
    </w:p>
    <w:p w14:paraId="21649772">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A9DFF8B">
      <w:pPr>
        <w:pStyle w:val="14"/>
        <w:jc w:val="both"/>
        <w:rPr>
          <w:rFonts w:hint="eastAsia" w:ascii="方正小标宋_GBK" w:hAnsi="方正小标宋_GBK" w:eastAsia="方正小标宋_GBK" w:cs="方正小标宋_GBK"/>
          <w:sz w:val="70"/>
          <w:szCs w:val="70"/>
          <w:lang w:eastAsia="zh-CN"/>
        </w:rPr>
      </w:pPr>
    </w:p>
    <w:p w14:paraId="334B59CD">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21C9CB89">
      <w:pPr>
        <w:ind w:firstLine="640" w:firstLineChars="200"/>
        <w:jc w:val="left"/>
        <w:rPr>
          <w:rFonts w:hint="eastAsia" w:ascii="宋体" w:hAnsi="宋体" w:eastAsia="宋体" w:cs="黑体"/>
          <w:b/>
          <w:color w:val="000000"/>
          <w:kern w:val="0"/>
          <w:sz w:val="32"/>
          <w:szCs w:val="32"/>
          <w:lang w:val="en-US" w:eastAsia="zh-CN"/>
        </w:rPr>
      </w:pPr>
    </w:p>
    <w:p w14:paraId="07FB9A9E">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6CFC409">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74D7B355">
      <w:pPr>
        <w:jc w:val="left"/>
        <w:rPr>
          <w:rFonts w:hint="eastAsia" w:ascii="宋体" w:hAnsi="宋体" w:eastAsia="宋体" w:cs="黑体"/>
          <w:b/>
          <w:color w:val="000000"/>
          <w:kern w:val="0"/>
          <w:sz w:val="32"/>
          <w:szCs w:val="32"/>
        </w:rPr>
      </w:pPr>
    </w:p>
    <w:p w14:paraId="6B3A91F6"/>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748E925"/>
    <w:multiLevelType w:val="singleLevel"/>
    <w:tmpl w:val="6748E925"/>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iMjMzN2ViZjY0MjY3MzljZmI3MzBhNDgzNTE0Zm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D6002"/>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473EFC"/>
    <w:rsid w:val="016C2D4F"/>
    <w:rsid w:val="01B84A16"/>
    <w:rsid w:val="05483AD3"/>
    <w:rsid w:val="059958AD"/>
    <w:rsid w:val="065F7326"/>
    <w:rsid w:val="06826B71"/>
    <w:rsid w:val="06897EFF"/>
    <w:rsid w:val="08982D3E"/>
    <w:rsid w:val="08F31FA8"/>
    <w:rsid w:val="093700E7"/>
    <w:rsid w:val="0C477673"/>
    <w:rsid w:val="0D85193E"/>
    <w:rsid w:val="0E6354DA"/>
    <w:rsid w:val="0E7954D6"/>
    <w:rsid w:val="0F76748F"/>
    <w:rsid w:val="0F9D2C6D"/>
    <w:rsid w:val="0FB57FB7"/>
    <w:rsid w:val="10284C2D"/>
    <w:rsid w:val="10D66437"/>
    <w:rsid w:val="12583BA5"/>
    <w:rsid w:val="137B32C6"/>
    <w:rsid w:val="13BA5B9C"/>
    <w:rsid w:val="14092680"/>
    <w:rsid w:val="14164D9C"/>
    <w:rsid w:val="146B158C"/>
    <w:rsid w:val="151412DC"/>
    <w:rsid w:val="16BC1C2B"/>
    <w:rsid w:val="17084E70"/>
    <w:rsid w:val="17F11005"/>
    <w:rsid w:val="18565D97"/>
    <w:rsid w:val="188D1AD1"/>
    <w:rsid w:val="1A71006E"/>
    <w:rsid w:val="1B0E4A1F"/>
    <w:rsid w:val="1B83540D"/>
    <w:rsid w:val="1D4B5AB7"/>
    <w:rsid w:val="1D6E79F7"/>
    <w:rsid w:val="1D7008E4"/>
    <w:rsid w:val="1D97DEFF"/>
    <w:rsid w:val="1DB418AE"/>
    <w:rsid w:val="1DFF72E5"/>
    <w:rsid w:val="1EBB6C6C"/>
    <w:rsid w:val="1EFC6F07"/>
    <w:rsid w:val="1F774CE3"/>
    <w:rsid w:val="1FFC57E9"/>
    <w:rsid w:val="208C6B12"/>
    <w:rsid w:val="21CF642B"/>
    <w:rsid w:val="228F4698"/>
    <w:rsid w:val="22AC03C2"/>
    <w:rsid w:val="22D24BAA"/>
    <w:rsid w:val="23C44815"/>
    <w:rsid w:val="24042E63"/>
    <w:rsid w:val="24B461EC"/>
    <w:rsid w:val="25BB1EE5"/>
    <w:rsid w:val="28B86DC6"/>
    <w:rsid w:val="296C128F"/>
    <w:rsid w:val="2B147E30"/>
    <w:rsid w:val="2B2B1FA0"/>
    <w:rsid w:val="2B9B22FF"/>
    <w:rsid w:val="2BDE3F9A"/>
    <w:rsid w:val="2D3463EC"/>
    <w:rsid w:val="2F8A06C1"/>
    <w:rsid w:val="2F927575"/>
    <w:rsid w:val="2FDF85B8"/>
    <w:rsid w:val="2FFFEE04"/>
    <w:rsid w:val="3062519A"/>
    <w:rsid w:val="30D03D8A"/>
    <w:rsid w:val="31C95635"/>
    <w:rsid w:val="3344502A"/>
    <w:rsid w:val="3347632E"/>
    <w:rsid w:val="337C6572"/>
    <w:rsid w:val="344D7F0F"/>
    <w:rsid w:val="34C33F6F"/>
    <w:rsid w:val="34DF85B0"/>
    <w:rsid w:val="37E8067A"/>
    <w:rsid w:val="38C5276A"/>
    <w:rsid w:val="39A6259B"/>
    <w:rsid w:val="3A387267"/>
    <w:rsid w:val="3B8F36BC"/>
    <w:rsid w:val="3DD60F75"/>
    <w:rsid w:val="3DE96493"/>
    <w:rsid w:val="3E295549"/>
    <w:rsid w:val="3FD414E4"/>
    <w:rsid w:val="40F66D88"/>
    <w:rsid w:val="423D15C3"/>
    <w:rsid w:val="44850085"/>
    <w:rsid w:val="4491454D"/>
    <w:rsid w:val="453749EF"/>
    <w:rsid w:val="45561319"/>
    <w:rsid w:val="46342CDD"/>
    <w:rsid w:val="47083453"/>
    <w:rsid w:val="473C009B"/>
    <w:rsid w:val="4809333E"/>
    <w:rsid w:val="48253B53"/>
    <w:rsid w:val="48C60564"/>
    <w:rsid w:val="491FF225"/>
    <w:rsid w:val="4B3519D1"/>
    <w:rsid w:val="4B7047B7"/>
    <w:rsid w:val="4CDD4363"/>
    <w:rsid w:val="4E5959D6"/>
    <w:rsid w:val="4EE32DD7"/>
    <w:rsid w:val="4F8C5937"/>
    <w:rsid w:val="4FFD214C"/>
    <w:rsid w:val="50D15CF8"/>
    <w:rsid w:val="50FD2F9C"/>
    <w:rsid w:val="514B3CFC"/>
    <w:rsid w:val="51D61189"/>
    <w:rsid w:val="526B3F2A"/>
    <w:rsid w:val="52FD7FF1"/>
    <w:rsid w:val="53422EDD"/>
    <w:rsid w:val="5352765A"/>
    <w:rsid w:val="53F73CC7"/>
    <w:rsid w:val="542720D3"/>
    <w:rsid w:val="55B12D8E"/>
    <w:rsid w:val="55C51FC7"/>
    <w:rsid w:val="566040EB"/>
    <w:rsid w:val="56EF6ED8"/>
    <w:rsid w:val="5777D4F5"/>
    <w:rsid w:val="57A35F14"/>
    <w:rsid w:val="58501BF8"/>
    <w:rsid w:val="59DD8326"/>
    <w:rsid w:val="5A1B6236"/>
    <w:rsid w:val="5A625C12"/>
    <w:rsid w:val="5ADE1E74"/>
    <w:rsid w:val="5AF70A51"/>
    <w:rsid w:val="5CEB1EEF"/>
    <w:rsid w:val="5DEF592A"/>
    <w:rsid w:val="5F2C67EF"/>
    <w:rsid w:val="5FC6BB1E"/>
    <w:rsid w:val="5FC8476A"/>
    <w:rsid w:val="5FF720F1"/>
    <w:rsid w:val="60235E44"/>
    <w:rsid w:val="61922324"/>
    <w:rsid w:val="61D92C5E"/>
    <w:rsid w:val="620F6680"/>
    <w:rsid w:val="62FF4946"/>
    <w:rsid w:val="65110961"/>
    <w:rsid w:val="67FF5C0B"/>
    <w:rsid w:val="68146343"/>
    <w:rsid w:val="6B683F98"/>
    <w:rsid w:val="6BAA4A2F"/>
    <w:rsid w:val="6CF350AF"/>
    <w:rsid w:val="6D6655C2"/>
    <w:rsid w:val="6DBA1EE3"/>
    <w:rsid w:val="6EB56801"/>
    <w:rsid w:val="6EFC0924"/>
    <w:rsid w:val="6FB74722"/>
    <w:rsid w:val="6FEF8B7E"/>
    <w:rsid w:val="700510C2"/>
    <w:rsid w:val="703419A7"/>
    <w:rsid w:val="706C2EEF"/>
    <w:rsid w:val="707C77DD"/>
    <w:rsid w:val="708244C1"/>
    <w:rsid w:val="7148570A"/>
    <w:rsid w:val="71A6591B"/>
    <w:rsid w:val="728269FA"/>
    <w:rsid w:val="728C10BD"/>
    <w:rsid w:val="72C950C0"/>
    <w:rsid w:val="737D59BA"/>
    <w:rsid w:val="737F32B1"/>
    <w:rsid w:val="75273889"/>
    <w:rsid w:val="76155034"/>
    <w:rsid w:val="77BA4E88"/>
    <w:rsid w:val="77C37683"/>
    <w:rsid w:val="77F55EC0"/>
    <w:rsid w:val="7964364B"/>
    <w:rsid w:val="79FF515B"/>
    <w:rsid w:val="7AEF309B"/>
    <w:rsid w:val="7C044924"/>
    <w:rsid w:val="7C370855"/>
    <w:rsid w:val="7C3F24AA"/>
    <w:rsid w:val="7CBE4AD3"/>
    <w:rsid w:val="7E1C7D03"/>
    <w:rsid w:val="7E503E50"/>
    <w:rsid w:val="7E9E1962"/>
    <w:rsid w:val="7E9F11B4"/>
    <w:rsid w:val="7F37EC1E"/>
    <w:rsid w:val="7F7DCD9D"/>
    <w:rsid w:val="7F970A6F"/>
    <w:rsid w:val="7FB86647"/>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eastAsia="仿宋" w:cs="仿宋"/>
      <w:sz w:val="31"/>
      <w:szCs w:val="31"/>
      <w:lang w:eastAsia="en-US"/>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Normal (Web)"/>
    <w:basedOn w:val="1"/>
    <w:qFormat/>
    <w:uiPriority w:val="0"/>
    <w:pPr>
      <w:spacing w:beforeAutospacing="1" w:afterAutospacing="1" w:line="360" w:lineRule="auto"/>
      <w:jc w:val="left"/>
    </w:pPr>
    <w:rPr>
      <w:sz w:val="24"/>
    </w:r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9281</Words>
  <Characters>9934</Characters>
  <Lines>63</Lines>
  <Paragraphs>18</Paragraphs>
  <TotalTime>23</TotalTime>
  <ScaleCrop>false</ScaleCrop>
  <LinksUpToDate>false</LinksUpToDate>
  <CharactersWithSpaces>9956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谢辉红</cp:lastModifiedBy>
  <cp:lastPrinted>2024-09-18T06:51:00Z</cp:lastPrinted>
  <dcterms:modified xsi:type="dcterms:W3CDTF">2025-07-30T03:06:25Z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7D075EBF58F14A25A2BF6BF334E38E73_13</vt:lpwstr>
  </property>
  <property fmtid="{D5CDD505-2E9C-101B-9397-08002B2CF9AE}" pid="4" name="KSOTemplateDocerSaveRecord">
    <vt:lpwstr>eyJoZGlkIjoiMDhiMjMzN2ViZjY0MjY3MzljZmI3MzBhNDgzNTE0ZmUiLCJ1c2VySWQiOiIxMDQ1NzU2MzIxIn0=</vt:lpwstr>
  </property>
</Properties>
</file>