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ackground w:color="ffffff"/>
  <w:body>
    <w:p w14:paraId="208798BD">
      <w:pPr>
        <w:pStyle w:val="style0"/>
        <w:rPr>
          <w:rFonts w:ascii="Times New Roman" w:cs="Times New Roman" w:hint="default"/>
          <w:color w:val="auto"/>
          <w:sz w:val="2"/>
          <w:szCs w:val="2"/>
        </w:rPr>
      </w:pPr>
    </w:p>
    <w:tbl>
      <w:tblPr>
        <w:tblStyle w:val="style105"/>
        <w:tblW w:w="153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6"/>
      </w:tblGrid>
      <w:tr w14:paraId="6F34BDC1">
        <w:trPr>
          <w:trHeight w:val="14740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483B2F88">
            <w:pPr>
              <w:pStyle w:val="style0"/>
              <w:spacing w:lineRule="exact" w:line="1110"/>
              <w:ind w:left="20"/>
              <w:jc w:val="center"/>
              <w:rPr>
                <w:rFonts w:ascii="微软雅黑" w:cs="微软雅黑" w:eastAsia="微软雅黑" w:hAnsi="Times New Roman" w:hint="eastAsia"/>
                <w:b/>
                <w:sz w:val="84"/>
                <w:szCs w:val="84"/>
              </w:rPr>
            </w:pPr>
            <w:r>
              <w:rPr>
                <w:rFonts w:ascii="微软雅黑" w:cs="微软雅黑" w:eastAsia="微软雅黑" w:hAnsi="Times New Roman" w:hint="eastAsia"/>
                <w:b/>
                <w:sz w:val="84"/>
                <w:szCs w:val="84"/>
              </w:rPr>
              <w:t>岳阳市市场监督管理局城陵矶新港区分局2024年度单位预算</w:t>
            </w:r>
          </w:p>
          <w:p w14:paraId="682A5BEE">
            <w:pPr>
              <w:pStyle w:val="style0"/>
              <w:spacing w:lineRule="exact" w:line="1110"/>
              <w:ind w:left="20"/>
              <w:jc w:val="center"/>
              <w:rPr>
                <w:rFonts w:ascii="微软雅黑" w:cs="微软雅黑" w:eastAsia="微软雅黑" w:hAnsi="Times New Roman" w:hint="eastAsia"/>
                <w:sz w:val="84"/>
                <w:szCs w:val="84"/>
              </w:rPr>
            </w:pPr>
          </w:p>
        </w:tc>
      </w:tr>
      <w:tr w14:paraId="6ED01933">
        <w:tblPrEx/>
        <w:trPr>
          <w:trHeight w:val="680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2B71B3BD">
            <w:pPr>
              <w:pStyle w:val="style0"/>
              <w:spacing w:lineRule="exact" w:line="525"/>
              <w:ind w:left="20"/>
              <w:jc w:val="center"/>
              <w:rPr>
                <w:rFonts w:ascii="Dialog" w:cs="Dialog" w:hAnsi="Times New Roman" w:hint="eastAsia"/>
                <w:sz w:val="44"/>
                <w:szCs w:val="44"/>
              </w:rPr>
            </w:pPr>
            <w:r>
              <w:rPr>
                <w:rFonts w:ascii="Dialog" w:cs="Dialog" w:hAnsi="Times New Roman" w:hint="eastAsia"/>
                <w:sz w:val="44"/>
                <w:szCs w:val="44"/>
              </w:rPr>
              <w:t>目录</w:t>
            </w:r>
          </w:p>
        </w:tc>
      </w:tr>
      <w:tr w14:paraId="1F9D5849">
        <w:tblPrEx/>
        <w:trPr>
          <w:trHeight w:val="285" w:hRule="exact"/>
        </w:trPr>
        <w:tc>
          <w:tcPr>
            <w:tcW w:w="153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77927C4">
            <w:pPr>
              <w:pStyle w:val="style0"/>
              <w:rPr>
                <w:rFonts w:ascii="Times New Roman" w:cs="Times New Roman" w:hint="default"/>
                <w:color w:val="auto"/>
                <w:sz w:val="24"/>
                <w:szCs w:val="24"/>
              </w:rPr>
            </w:pPr>
          </w:p>
        </w:tc>
      </w:tr>
      <w:tr w14:paraId="6CDCA84E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2F0AF1DC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第一部分  2024年单位预算说明</w:t>
            </w:r>
          </w:p>
        </w:tc>
      </w:tr>
      <w:tr w14:paraId="349E6437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31C95086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第二部分  2024年单位预算公开表格</w:t>
            </w:r>
          </w:p>
        </w:tc>
      </w:tr>
      <w:tr w14:paraId="18715C90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42D6B036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1、收支总表</w:t>
            </w:r>
          </w:p>
        </w:tc>
      </w:tr>
      <w:tr w14:paraId="5EECF88E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56EE4A8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2、收入总表</w:t>
            </w:r>
          </w:p>
        </w:tc>
      </w:tr>
      <w:tr w14:paraId="2F61A3DF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708CE20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3、支出总表</w:t>
            </w:r>
          </w:p>
        </w:tc>
      </w:tr>
      <w:tr w14:paraId="1F1D484C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EF6E184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4、支出预算分类汇总表（按政府预算经济分类）</w:t>
            </w:r>
          </w:p>
        </w:tc>
      </w:tr>
      <w:tr w14:paraId="05F1B1E0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56BCB00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5、支出预算分类汇总表（按部门预算经济分类）</w:t>
            </w:r>
          </w:p>
        </w:tc>
      </w:tr>
      <w:tr w14:paraId="349AF063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E1AB736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6、财政拨款收支总表</w:t>
            </w:r>
          </w:p>
        </w:tc>
      </w:tr>
      <w:tr w14:paraId="54DDA82C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776A4FB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7、一般公共预算支出表</w:t>
            </w:r>
          </w:p>
        </w:tc>
      </w:tr>
      <w:tr w14:paraId="4758CA57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4B3E7539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8、一般公共预算基本支出表-人员经费（工资福利支出）（按政府预算经济分类）</w:t>
            </w:r>
          </w:p>
        </w:tc>
      </w:tr>
      <w:tr w14:paraId="627F10FA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1CD8C22D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9、一般公共预算基本支出表-人员经费（工资福利支出）（按部门预算经济分类）</w:t>
            </w:r>
          </w:p>
        </w:tc>
      </w:tr>
      <w:tr w14:paraId="56C534C3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C4BF36E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10、一般公共预算基本支出表-人员经费（对个人和家庭的补助）（按政府预算经济分类）</w:t>
            </w:r>
          </w:p>
        </w:tc>
      </w:tr>
      <w:tr w14:paraId="1FDC362A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11B35390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11、一般公共预算基本支出表-人员经费（对个人和家庭的补助）（按部门预算经济分类）</w:t>
            </w:r>
          </w:p>
        </w:tc>
      </w:tr>
      <w:tr w14:paraId="119C81DA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74A8E94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12、一般公共预算基本支出表-公用经费（商品和服务支出）（按政府预算经济分类）</w:t>
            </w:r>
          </w:p>
        </w:tc>
      </w:tr>
      <w:tr w14:paraId="35840CDC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261F141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13、一般公共预算基本支出表-公用经费（商品和服务支出）（按部门预算经济分类）</w:t>
            </w:r>
          </w:p>
        </w:tc>
      </w:tr>
      <w:tr w14:paraId="01A29F59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AA2B078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14、一般公共预算“三公”经费支出表</w:t>
            </w:r>
          </w:p>
        </w:tc>
      </w:tr>
      <w:tr w14:paraId="2D366DF4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0AD6AC77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15、政府性基金预算支出表</w:t>
            </w:r>
          </w:p>
        </w:tc>
      </w:tr>
      <w:tr w14:paraId="5E958964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46AB3124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16、政府性基金预算支出分类汇总表（按政府预算经济分类）</w:t>
            </w:r>
          </w:p>
        </w:tc>
      </w:tr>
      <w:tr w14:paraId="1A606BFC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1D214F8F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17、政府性基金预算支出分类汇总表（按部门预算经济分类）</w:t>
            </w:r>
          </w:p>
        </w:tc>
      </w:tr>
      <w:tr w14:paraId="6CB7EC62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1A5CD61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18、国有资本经营预算支出表</w:t>
            </w:r>
          </w:p>
        </w:tc>
      </w:tr>
      <w:tr w14:paraId="51F8B0AC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10A1AC0F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19、财政专户管理资金预算支出表</w:t>
            </w:r>
          </w:p>
        </w:tc>
      </w:tr>
      <w:tr w14:paraId="55863591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12F5A114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20、专项资金预算汇总表</w:t>
            </w:r>
          </w:p>
        </w:tc>
      </w:tr>
      <w:tr w14:paraId="6501ECC3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2861CF0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21、项目支出绩效目标表</w:t>
            </w:r>
          </w:p>
        </w:tc>
      </w:tr>
      <w:tr w14:paraId="1BEE6F52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1E1E85AF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22、单位整体支出绩效目标表</w:t>
            </w:r>
          </w:p>
        </w:tc>
      </w:tr>
      <w:tr w14:paraId="1048A659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234D15F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23、一般公共预算基本支出表</w:t>
            </w:r>
          </w:p>
        </w:tc>
      </w:tr>
      <w:tr w14:paraId="6CF9D191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1E960D26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color w:val="ff0000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color w:val="ff0000"/>
                <w:sz w:val="32"/>
                <w:szCs w:val="32"/>
              </w:rPr>
              <w:t>注：以上单位预算公开报表中，空表表示本单位无相关收支情况。</w:t>
            </w:r>
          </w:p>
        </w:tc>
      </w:tr>
      <w:tr w14:paraId="7CE5058E">
        <w:tblPrEx/>
        <w:trPr>
          <w:trHeight w:val="285" w:hRule="exact"/>
        </w:trPr>
        <w:tc>
          <w:tcPr>
            <w:tcW w:w="153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49C4BA0C">
            <w:pPr>
              <w:pStyle w:val="style0"/>
              <w:rPr>
                <w:rFonts w:ascii="Times New Roman" w:cs="Times New Roman" w:hint="default"/>
                <w:color w:val="auto"/>
                <w:sz w:val="24"/>
                <w:szCs w:val="24"/>
              </w:rPr>
            </w:pPr>
          </w:p>
        </w:tc>
      </w:tr>
      <w:tr w14:paraId="29BD2BC0">
        <w:tblPrEx/>
        <w:trPr>
          <w:trHeight w:val="285" w:hRule="exact"/>
        </w:trPr>
        <w:tc>
          <w:tcPr>
            <w:tcW w:w="153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04B96417">
            <w:pPr>
              <w:pStyle w:val="style0"/>
              <w:rPr>
                <w:rFonts w:ascii="Times New Roman" w:cs="Times New Roman" w:hint="default"/>
                <w:color w:val="auto"/>
                <w:sz w:val="24"/>
                <w:szCs w:val="24"/>
              </w:rPr>
            </w:pPr>
          </w:p>
        </w:tc>
      </w:tr>
      <w:tr w14:paraId="0942908F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89EF569">
            <w:pPr>
              <w:pStyle w:val="style0"/>
              <w:spacing w:lineRule="exact" w:line="375"/>
              <w:ind w:left="20"/>
              <w:jc w:val="center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第一部分  2024年单位预算说明</w:t>
            </w:r>
          </w:p>
        </w:tc>
      </w:tr>
      <w:tr w14:paraId="7375C56B">
        <w:tblPrEx/>
        <w:trPr>
          <w:trHeight w:val="285" w:hRule="exact"/>
        </w:trPr>
        <w:tc>
          <w:tcPr>
            <w:tcW w:w="153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89D0DCC">
            <w:pPr>
              <w:pStyle w:val="style0"/>
              <w:rPr>
                <w:rFonts w:ascii="Times New Roman" w:cs="Times New Roman" w:hint="default"/>
                <w:color w:val="auto"/>
                <w:sz w:val="24"/>
                <w:szCs w:val="24"/>
              </w:rPr>
            </w:pPr>
          </w:p>
        </w:tc>
      </w:tr>
      <w:tr w14:paraId="06F28E0B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4D17D57C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一、单位基本概况</w:t>
            </w:r>
          </w:p>
        </w:tc>
      </w:tr>
      <w:tr w14:paraId="2C5167B5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6565506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 xml:space="preserve">  （一）职能职责</w:t>
            </w:r>
          </w:p>
        </w:tc>
      </w:tr>
      <w:tr w14:paraId="59A3FD15">
        <w:tblPrEx/>
        <w:trPr>
          <w:trHeight w:val="912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2B9347D1">
            <w:pPr>
              <w:pStyle w:val="style0"/>
              <w:spacing w:lineRule="exact" w:line="375"/>
              <w:ind w:left="20" w:firstLine="640" w:firstLineChars="20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cs="仿宋_GB2312" w:eastAsia="仿宋_GB2312" w:hint="eastAsia"/>
                <w:sz w:val="32"/>
                <w:szCs w:val="32"/>
              </w:rPr>
              <w:t>承</w:t>
            </w:r>
            <w:r>
              <w:rPr>
                <w:rFonts w:ascii="宋体" w:cs="宋体" w:hAnsi="Times New Roman" w:hint="eastAsia"/>
                <w:sz w:val="32"/>
                <w:szCs w:val="32"/>
              </w:rPr>
              <w:t>担岳阳市市场监管局委托的辖区内市场监管职责；完成岳阳市市场监管局、区委（工委）和区政府（管委会）交办的其他工作。</w:t>
            </w:r>
          </w:p>
        </w:tc>
      </w:tr>
      <w:tr w14:paraId="58424647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065BE503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 xml:space="preserve">  （二）机构设置</w:t>
            </w:r>
          </w:p>
        </w:tc>
      </w:tr>
      <w:tr w14:paraId="3D4E873A">
        <w:tblPrEx/>
        <w:trPr>
          <w:trHeight w:val="790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83FE6F5">
            <w:pPr>
              <w:pStyle w:val="style0"/>
              <w:spacing w:lineRule="exact" w:line="375"/>
              <w:ind w:left="20" w:firstLine="640" w:firstLineChars="200"/>
              <w:rPr>
                <w:rFonts w:cs="仿宋_GB2312" w:eastAsia="仿宋_GB2312" w:hint="eastAsia"/>
                <w:sz w:val="32"/>
                <w:szCs w:val="32"/>
              </w:rPr>
            </w:pPr>
            <w:r>
              <w:rPr>
                <w:rFonts w:cs="仿宋_GB2312" w:eastAsia="仿宋_GB2312" w:hint="eastAsia"/>
                <w:sz w:val="32"/>
                <w:szCs w:val="32"/>
              </w:rPr>
              <w:t>独立编制、核算机构数 1 个，核定人员编制 18名，现有在职16人、退休1人，为正科级行政单位。内设机构：行政综合办公室、综合业务股、登记注册和信息化股、市场监管所。</w:t>
            </w:r>
          </w:p>
          <w:p w14:paraId="27EFAF80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</w:p>
        </w:tc>
      </w:tr>
      <w:tr w14:paraId="7AB6B577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C98A517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二、单位预算单位构成</w:t>
            </w:r>
          </w:p>
        </w:tc>
      </w:tr>
      <w:tr w14:paraId="7CD28A68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47AA5448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 xml:space="preserve">  本单位预算仅含本级预算。</w:t>
            </w:r>
          </w:p>
        </w:tc>
      </w:tr>
      <w:tr w14:paraId="7A30A3DF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03E3881F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三、单位收支总体情况</w:t>
            </w:r>
          </w:p>
        </w:tc>
      </w:tr>
      <w:tr w14:paraId="4BB0150A">
        <w:tblPrEx/>
        <w:trPr>
          <w:trHeight w:val="1125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B10D2D6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 xml:space="preserve">  本单位2024年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表均为空。</w:t>
            </w:r>
          </w:p>
        </w:tc>
      </w:tr>
      <w:tr w14:paraId="08A53A7C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D7A2357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（一）收入预算</w:t>
            </w:r>
          </w:p>
        </w:tc>
      </w:tr>
      <w:tr w14:paraId="65988469">
        <w:tblPrEx/>
        <w:trPr>
          <w:trHeight w:val="2387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380F9FD2">
            <w:pPr>
              <w:pStyle w:val="style0"/>
              <w:spacing w:lineRule="exact" w:line="375"/>
              <w:ind w:left="20" w:firstLine="640" w:firstLineChars="20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包括一般公共预算、政府性基金、国有资本经营预算等财政拨款收入，以及经营收入、事业收入等单位资金。2024年度年本单位收入预算264.38万元，其中，一般公共预算拨款264.38万元，政府性基金预算资金0.00万元(所以公开的附件17为空)，国有资本经营预算资金0.00万元(所以公开的附件18为空)，财政专户管理资金0.00万元(所以公开的附件19为空)，上级补助收入资金0.00万元，事业单位经营收入资金0.00万元，上年结转结余0.00万元。(数据来源见表2)本单位2024年收入较去年增加4.07万元，主要是因为基础绩效奖按2.5万元/人纳入了年初预算。</w:t>
            </w:r>
          </w:p>
        </w:tc>
      </w:tr>
      <w:tr w14:paraId="1FA62E60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BE2E2C5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（二）支出预算</w:t>
            </w:r>
          </w:p>
        </w:tc>
      </w:tr>
      <w:tr w14:paraId="7EE8B262">
        <w:tblPrEx/>
        <w:trPr>
          <w:trHeight w:val="1125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3062BA3">
            <w:pPr>
              <w:pStyle w:val="style0"/>
              <w:spacing w:lineRule="exact" w:line="375"/>
              <w:ind w:left="20" w:firstLine="640" w:firstLineChars="20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2024年本单位支出预算264.38万元，其中，201一般公共服务支出204.52万元，208社会保障和就业支出25.42万元，210卫生健康支出17.53万元，221住房保障支出16.91万元，支出较去年增加4.07万元，主要是因为基础绩效奖按2.5万元/人纳入了年初预算。</w:t>
            </w:r>
          </w:p>
        </w:tc>
      </w:tr>
      <w:tr w14:paraId="252169B5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0E46EB76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四、一般公共预算拨款支出预算</w:t>
            </w:r>
          </w:p>
        </w:tc>
      </w:tr>
      <w:tr w14:paraId="18A7C7DF">
        <w:tblPrEx/>
        <w:trPr>
          <w:trHeight w:val="1125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335DB306">
            <w:pPr>
              <w:pStyle w:val="style0"/>
              <w:spacing w:lineRule="exact" w:line="375"/>
              <w:ind w:left="20" w:firstLine="640" w:firstLineChars="20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2024年一般公共预算拨款支出预算264.38万元，其中，201一般公共服务支出204.52万元，占77.36%；208社会保障和就业支出25.42万元，占9.61%；210卫生健康支出17.53万元，占6.63%；221住房保障支出16.91万元，占6.4%；具体安排情况如下：</w:t>
            </w:r>
          </w:p>
        </w:tc>
      </w:tr>
      <w:tr w14:paraId="11D6ADAC">
        <w:tblPrEx/>
        <w:trPr>
          <w:trHeight w:val="1125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0005CE8B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 xml:space="preserve">  （一）基本支出：2024年基本支出年初预算数为264.38万元（数据来源见表23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14:paraId="21205C4D">
        <w:tblPrEx/>
        <w:trPr>
          <w:trHeight w:val="379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504BED2">
            <w:pPr>
              <w:pStyle w:val="style0"/>
              <w:spacing w:lineRule="exact" w:line="375"/>
              <w:ind w:left="20" w:firstLine="320" w:firstLineChars="10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（二）项目支出：2024年度本单位无项目预算。</w:t>
            </w:r>
          </w:p>
          <w:p w14:paraId="0E0D9B32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</w:p>
        </w:tc>
      </w:tr>
      <w:tr w14:paraId="38D39A4B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3CED2090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五、政府性基金预算支出</w:t>
            </w:r>
          </w:p>
        </w:tc>
      </w:tr>
      <w:tr w14:paraId="152EE01F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3D48B7E5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 xml:space="preserve">  2024年度本单位无政府性基金安排的支出，所以公开的附件15-17（政府性基金预算）为空。</w:t>
            </w:r>
          </w:p>
        </w:tc>
      </w:tr>
      <w:tr w14:paraId="70146402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1F700575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六、其他重要事项的情况说明</w:t>
            </w:r>
          </w:p>
        </w:tc>
      </w:tr>
      <w:tr w14:paraId="5CCA9265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1E680FFA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（一）机关运行经费</w:t>
            </w:r>
          </w:p>
        </w:tc>
      </w:tr>
      <w:tr w14:paraId="71DC697D">
        <w:tblPrEx/>
        <w:trPr>
          <w:trHeight w:val="750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F894811">
            <w:pPr>
              <w:pStyle w:val="style0"/>
              <w:spacing w:lineRule="exact" w:line="375"/>
              <w:ind w:left="20" w:firstLine="640" w:firstLineChars="20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本单位2024年机关运行经费当年一般公共预算拨款43.85万元（数据来源见表12），比上一年减少4.05万元，降低8.46%。主要原因是1人退休，公用经费、其他交通费用等减少。</w:t>
            </w:r>
          </w:p>
        </w:tc>
      </w:tr>
      <w:tr w14:paraId="121943F0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29F4A258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（二）“三公”经费预算</w:t>
            </w:r>
          </w:p>
        </w:tc>
      </w:tr>
      <w:tr w14:paraId="23ABC22E">
        <w:tblPrEx/>
        <w:trPr>
          <w:trHeight w:val="1414" w:hRule="atLeas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47BBE42">
            <w:pPr>
              <w:pStyle w:val="style0"/>
              <w:spacing w:lineRule="exact" w:line="375"/>
              <w:ind w:left="20" w:firstLine="640" w:firstLineChars="20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本单位2024年“三公”经费预算数4.00万元（数据来源见表14），其中，公务接待费1.00万元，因公出国（境）费0.00万元，公务用车购置及运行费3.00万元（其中，公务用车购置费0.00万元，公务用车运行费3.00万元）。</w:t>
            </w:r>
            <w:r>
              <w:rPr>
                <w:rFonts w:cs="仿宋_GB2312" w:eastAsia="仿宋_GB2312" w:hint="eastAsia"/>
                <w:sz w:val="32"/>
                <w:szCs w:val="32"/>
              </w:rPr>
              <w:t>由于对“三公“经费的管理和监管的加强，对于“三公”经费的审批也更加严格，使得2024年三公经费预算与上年持平</w:t>
            </w:r>
            <w:r>
              <w:rPr>
                <w:rFonts w:cs="仿宋_GB2312" w:eastAsia="仿宋_GB2312" w:hint="default"/>
                <w:sz w:val="32"/>
                <w:szCs w:val="32"/>
                <w:lang w:val="en-US"/>
              </w:rPr>
              <w:t>。</w:t>
            </w:r>
          </w:p>
        </w:tc>
      </w:tr>
      <w:tr w14:paraId="64DC590D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8438D88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（三）一般性支出情况</w:t>
            </w:r>
          </w:p>
        </w:tc>
      </w:tr>
      <w:tr w14:paraId="08491CD0">
        <w:tblPrEx/>
        <w:trPr>
          <w:trHeight w:val="1515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350364B8">
            <w:pPr>
              <w:pStyle w:val="style0"/>
              <w:spacing w:lineRule="exact" w:line="375"/>
              <w:ind w:left="20" w:firstLine="640" w:firstLineChars="20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本单位2024年会议费预算0.50万元（数据来源见表13会议费、培训费），拟召开2次会议，人数60人，内容为为食品安全、知识产权、特种设备、企业年报会议；培训费预算1.00万元，拟开展1次培训，人数100人，内容为为食品安全、知识产权、特种设备等业务培训；2024年度本单位未计划举办节庆、晚会、论坛、赛事活动。</w:t>
            </w:r>
          </w:p>
        </w:tc>
      </w:tr>
      <w:tr w14:paraId="52DB19C1">
        <w:tblPrEx/>
        <w:trPr>
          <w:trHeight w:val="479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3FFA1AE6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（四）政府采购情况</w:t>
            </w:r>
          </w:p>
        </w:tc>
      </w:tr>
      <w:tr w14:paraId="1C18793E">
        <w:tblPrEx/>
        <w:trPr>
          <w:trHeight w:val="504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34A048A7">
            <w:pPr>
              <w:pStyle w:val="style0"/>
              <w:spacing w:lineRule="exact" w:line="375"/>
              <w:ind w:left="20" w:firstLine="640" w:firstLineChars="20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本单位2024年政府采购预算总额124.16万元，其中工程类0万元，货物类47.2万元，服务类76.96万元。</w:t>
            </w:r>
          </w:p>
        </w:tc>
      </w:tr>
      <w:tr w14:paraId="0640395C">
        <w:tblPrEx/>
        <w:trPr>
          <w:trHeight w:val="451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4B0C5AD3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（五）国有资产占有使用及新增资产配置情况</w:t>
            </w:r>
          </w:p>
          <w:p w14:paraId="2DBA1449">
            <w:pPr>
              <w:pStyle w:val="style46"/>
              <w:rPr>
                <w:rFonts w:hint="eastAsia"/>
              </w:rPr>
            </w:pPr>
          </w:p>
        </w:tc>
      </w:tr>
      <w:tr w14:paraId="6F64576E">
        <w:tblPrEx/>
        <w:trPr>
          <w:trHeight w:val="817" w:hRule="atLeas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1763F941">
            <w:pPr>
              <w:pStyle w:val="style0"/>
              <w:spacing w:lineRule="exact" w:line="375"/>
              <w:ind w:left="20" w:firstLine="640" w:firstLineChars="20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截至上年底，本单位共有车辆1辆，其中领导干部用车0辆，一般公务用车1辆，其他用车0辆。单位价值50万元以上通用设备0台，单位价值100万元以上专用设备0台。</w:t>
            </w:r>
          </w:p>
        </w:tc>
      </w:tr>
      <w:tr w14:paraId="E33B3034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3ED5764">
            <w:pPr>
              <w:pStyle w:val="style0"/>
              <w:spacing w:lineRule="exact" w:line="375"/>
              <w:ind w:left="20" w:firstLineChars="20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cs="Dialog" w:hAnsi="Times New Roman" w:hint="default"/>
                <w:sz w:val="32"/>
                <w:szCs w:val="32"/>
                <w:lang w:val="en-US"/>
              </w:rPr>
              <w:t>2024年度本单位未计划处置或新增车辆、设备等。</w:t>
            </w:r>
          </w:p>
        </w:tc>
      </w:tr>
      <w:tr w14:paraId="53887751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1D8AEB7E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（六）预算绩效目标说明</w:t>
            </w:r>
          </w:p>
        </w:tc>
      </w:tr>
      <w:tr w14:paraId="2880297A">
        <w:tblPrEx/>
        <w:trPr>
          <w:trHeight w:val="750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54EB84E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 xml:space="preserve">    本单位所有支出实行绩效目标管理。纳入2024年单位整体支出绩效目标的金额为264.38万元，其中，基本支出264.38万元，项目支出0.00万元，详见文尾附表中单位预算公开表格的表21-22。</w:t>
            </w:r>
          </w:p>
        </w:tc>
      </w:tr>
      <w:tr w14:paraId="614F61A9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3462B50A">
            <w:pPr>
              <w:pStyle w:val="style0"/>
              <w:spacing w:lineRule="exact" w:line="375"/>
              <w:ind w:left="20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 xml:space="preserve">  七、名词解释</w:t>
            </w:r>
          </w:p>
        </w:tc>
      </w:tr>
      <w:tr w14:paraId="33C95B5B">
        <w:tblPrEx/>
        <w:trPr>
          <w:trHeight w:val="1272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8F8027C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 xml:space="preserve">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</w:tc>
      </w:tr>
      <w:tr w14:paraId="2404835B">
        <w:tblPrEx/>
        <w:trPr>
          <w:trHeight w:val="1700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14B9DCA0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 xml:space="preserve">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</w:t>
            </w:r>
          </w:p>
          <w:p w14:paraId="6CA57D9E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因公出国（境）费反映单位公</w:t>
            </w:r>
            <w:bookmarkStart w:id="0" w:name="_GoBack"/>
            <w:bookmarkEnd w:id="0"/>
            <w:r>
              <w:rPr>
                <w:rFonts w:ascii="宋体" w:cs="宋体" w:hAnsi="Times New Roman" w:hint="eastAsia"/>
                <w:sz w:val="32"/>
                <w:szCs w:val="32"/>
              </w:rPr>
              <w:t>务出国（境）的国际旅费、国外城市间交通费、食宿费等支出。</w:t>
            </w:r>
          </w:p>
        </w:tc>
      </w:tr>
      <w:tr w14:paraId="69AD4ADC">
        <w:tblPrEx/>
        <w:trPr>
          <w:trHeight w:val="285" w:hRule="exact"/>
        </w:trPr>
        <w:tc>
          <w:tcPr>
            <w:tcW w:w="153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27DDE412">
            <w:pPr>
              <w:pStyle w:val="style0"/>
              <w:rPr>
                <w:rFonts w:ascii="Times New Roman" w:cs="Times New Roman" w:hint="default"/>
                <w:color w:val="auto"/>
                <w:sz w:val="24"/>
                <w:szCs w:val="24"/>
              </w:rPr>
            </w:pPr>
          </w:p>
        </w:tc>
      </w:tr>
      <w:tr w14:paraId="74DC3AC6">
        <w:tblPrEx/>
        <w:trPr>
          <w:trHeight w:val="285" w:hRule="exact"/>
        </w:trPr>
        <w:tc>
          <w:tcPr>
            <w:tcW w:w="153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4D5B475">
            <w:pPr>
              <w:pStyle w:val="style0"/>
              <w:rPr>
                <w:rFonts w:ascii="Times New Roman" w:cs="Times New Roman" w:hint="default"/>
                <w:color w:val="auto"/>
                <w:sz w:val="24"/>
                <w:szCs w:val="24"/>
              </w:rPr>
            </w:pPr>
          </w:p>
        </w:tc>
      </w:tr>
      <w:tr w14:paraId="51147ADF">
        <w:tblPrEx/>
        <w:trPr>
          <w:trHeight w:val="285" w:hRule="exact"/>
        </w:trPr>
        <w:tc>
          <w:tcPr>
            <w:tcW w:w="153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FE2843F">
            <w:pPr>
              <w:pStyle w:val="style0"/>
              <w:rPr>
                <w:rFonts w:ascii="Times New Roman" w:cs="Times New Roman" w:hint="default"/>
                <w:color w:val="auto"/>
                <w:sz w:val="24"/>
                <w:szCs w:val="24"/>
              </w:rPr>
            </w:pPr>
          </w:p>
        </w:tc>
      </w:tr>
      <w:tr w14:paraId="4A5311DE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A280F5A">
            <w:pPr>
              <w:pStyle w:val="style0"/>
              <w:spacing w:lineRule="exact" w:line="375"/>
              <w:ind w:left="20"/>
              <w:jc w:val="center"/>
              <w:rPr>
                <w:rFonts w:ascii="Dialog" w:cs="Dialog" w:hAnsi="Times New Roman" w:hint="eastAsia"/>
                <w:sz w:val="32"/>
                <w:szCs w:val="32"/>
              </w:rPr>
            </w:pPr>
            <w:r>
              <w:rPr>
                <w:rFonts w:ascii="Dialog" w:cs="Dialog" w:hAnsi="Times New Roman" w:hint="eastAsia"/>
                <w:sz w:val="32"/>
                <w:szCs w:val="32"/>
              </w:rPr>
              <w:t>第二部分  2024年单位预算公开表格</w:t>
            </w:r>
          </w:p>
        </w:tc>
      </w:tr>
      <w:tr w14:paraId="3A7BC474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38136B38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1、收支总表</w:t>
            </w:r>
          </w:p>
        </w:tc>
      </w:tr>
      <w:tr w14:paraId="694E5A35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185988E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2、收入总表</w:t>
            </w:r>
          </w:p>
        </w:tc>
      </w:tr>
      <w:tr w14:paraId="6724BABF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A8AC518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3、支出总表</w:t>
            </w:r>
          </w:p>
        </w:tc>
      </w:tr>
      <w:tr w14:paraId="6263E1E2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363B5202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4、支出预算分类汇总表（按政府预算经济分类）</w:t>
            </w:r>
          </w:p>
        </w:tc>
      </w:tr>
      <w:tr w14:paraId="5E17BB8E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437F7D40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5、支出预算分类汇总表（按部门预算经济分类）</w:t>
            </w:r>
          </w:p>
        </w:tc>
      </w:tr>
      <w:tr w14:paraId="4F28060B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38B98EB2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6、财政拨款收支总表</w:t>
            </w:r>
          </w:p>
        </w:tc>
      </w:tr>
      <w:tr w14:paraId="6B14A768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8EA05C8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7、一般公共预算支出表</w:t>
            </w:r>
          </w:p>
        </w:tc>
      </w:tr>
      <w:tr w14:paraId="5E3B41FB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035699FB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8、一般公共预算基本支出表-人员经费（工资福利支出）（按政府预算经济分类）</w:t>
            </w:r>
          </w:p>
        </w:tc>
      </w:tr>
      <w:tr w14:paraId="69314F2C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3240B63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9、一般公共预算基本支出表-人员经费（工资福利支出）（按部门预算经济分类）</w:t>
            </w:r>
          </w:p>
        </w:tc>
      </w:tr>
      <w:tr w14:paraId="3D2EE569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FC88A5F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10、一般公共预算基本支出表-人员经费（对个人和家庭的补助）（按政府预算经济分类）</w:t>
            </w:r>
          </w:p>
        </w:tc>
      </w:tr>
      <w:tr w14:paraId="3F4A862D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943106E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11、一般公共预算基本支出表-人员经费（对个人和家庭的补助）（按部门预算经济分类）</w:t>
            </w:r>
          </w:p>
        </w:tc>
      </w:tr>
      <w:tr w14:paraId="6DC242C7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4B7B7223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12、一般公共预算基本支出表-公用经费（商品和服务支出）（按政府预算经济分类）</w:t>
            </w:r>
          </w:p>
        </w:tc>
      </w:tr>
      <w:tr w14:paraId="61BF369A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CE0546C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13、一般公共预算基本支出表-公用经费（商品和服务支出）（按部门预算经济分类）</w:t>
            </w:r>
          </w:p>
        </w:tc>
      </w:tr>
      <w:tr w14:paraId="3789BB6D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27368BF8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14、一般公共预算“三公”经费支出表</w:t>
            </w:r>
          </w:p>
        </w:tc>
      </w:tr>
      <w:tr w14:paraId="2BE5C23F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133C7930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15、政府性基金预算支出表</w:t>
            </w:r>
          </w:p>
        </w:tc>
      </w:tr>
      <w:tr w14:paraId="341AAE2F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C892CA9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16、政府性基金预算支出分类汇总表（按政府预算经济分类）</w:t>
            </w:r>
          </w:p>
        </w:tc>
      </w:tr>
      <w:tr w14:paraId="016FC9C0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25C99F1A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17、政府性基金预算支出分类汇总表（按部门预算经济分类）</w:t>
            </w:r>
          </w:p>
        </w:tc>
      </w:tr>
      <w:tr w14:paraId="50984483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B5385BB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18、国有资本经营预算支出表</w:t>
            </w:r>
          </w:p>
        </w:tc>
      </w:tr>
      <w:tr w14:paraId="1414744C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E5B2E7D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19、财政专户管理资金预算支出表</w:t>
            </w:r>
          </w:p>
        </w:tc>
      </w:tr>
      <w:tr w14:paraId="0F5C49D7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1AC3A88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20、专项资金预算汇总表</w:t>
            </w:r>
          </w:p>
        </w:tc>
      </w:tr>
      <w:tr w14:paraId="47489B9A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0F88EAEA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21、项目支出绩效目标表</w:t>
            </w:r>
          </w:p>
        </w:tc>
      </w:tr>
      <w:tr w14:paraId="25A09FC4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234DE414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22、单位整体支出绩效目标表</w:t>
            </w:r>
          </w:p>
        </w:tc>
      </w:tr>
      <w:tr w14:paraId="362B3847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61E7439D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sz w:val="32"/>
                <w:szCs w:val="32"/>
              </w:rPr>
              <w:t>23、一般公共预算基本支出表</w:t>
            </w:r>
          </w:p>
        </w:tc>
      </w:tr>
      <w:tr w14:paraId="39F1C494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E5BACE8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color w:val="ff0000"/>
                <w:sz w:val="32"/>
                <w:szCs w:val="32"/>
              </w:rPr>
            </w:pPr>
            <w:r>
              <w:rPr>
                <w:rFonts w:ascii="宋体" w:cs="宋体" w:hAnsi="Times New Roman" w:hint="eastAsia"/>
                <w:b/>
                <w:color w:val="ff0000"/>
                <w:sz w:val="32"/>
                <w:szCs w:val="32"/>
              </w:rPr>
              <w:t>注：以上单位预算公开报表中，空表表示本单位无相关收支情况。</w:t>
            </w:r>
          </w:p>
        </w:tc>
      </w:tr>
      <w:tr w14:paraId="7D1FC98B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418AA86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b/>
                <w:color w:val="ff0000"/>
                <w:sz w:val="32"/>
                <w:szCs w:val="32"/>
              </w:rPr>
            </w:pPr>
          </w:p>
        </w:tc>
      </w:tr>
      <w:tr w14:paraId="1903DD14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23ACC147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b/>
                <w:color w:val="ff0000"/>
                <w:sz w:val="32"/>
                <w:szCs w:val="32"/>
              </w:rPr>
            </w:pPr>
          </w:p>
        </w:tc>
      </w:tr>
      <w:tr w14:paraId="7027F245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70717636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b/>
                <w:color w:val="ff0000"/>
                <w:sz w:val="32"/>
                <w:szCs w:val="32"/>
              </w:rPr>
            </w:pPr>
          </w:p>
        </w:tc>
      </w:tr>
      <w:tr w14:paraId="19A828C9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55A3D2E4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b/>
                <w:color w:val="ff0000"/>
                <w:sz w:val="32"/>
                <w:szCs w:val="32"/>
              </w:rPr>
            </w:pPr>
          </w:p>
        </w:tc>
      </w:tr>
      <w:tr w14:paraId="2318B4F7">
        <w:tblPrEx/>
        <w:trPr>
          <w:trHeight w:val="566" w:hRule="exact"/>
        </w:trPr>
        <w:tc>
          <w:tcPr>
            <w:tcW w:w="15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14:paraId="48343278">
            <w:pPr>
              <w:pStyle w:val="style0"/>
              <w:spacing w:lineRule="exact" w:line="375"/>
              <w:ind w:left="20"/>
              <w:rPr>
                <w:rFonts w:ascii="宋体" w:cs="宋体" w:hAnsi="Times New Roman" w:hint="eastAsia"/>
                <w:b/>
                <w:color w:val="ff0000"/>
                <w:sz w:val="32"/>
                <w:szCs w:val="32"/>
              </w:rPr>
            </w:pPr>
          </w:p>
        </w:tc>
      </w:tr>
    </w:tbl>
    <w:p w14:paraId="5F50A8CF">
      <w:pPr>
        <w:pStyle w:val="style0"/>
        <w:rPr>
          <w:rFonts w:hint="default"/>
          <w:sz w:val="24"/>
          <w:szCs w:val="24"/>
        </w:rPr>
      </w:pPr>
    </w:p>
    <w:sectPr>
      <w:pgSz w:w="18708" w:h="15840" w:orient="portrait"/>
      <w:pgMar w:top="388" w:right="1080" w:bottom="388" w:left="1080" w:header="720" w:footer="720" w:gutter="0"/>
      <w:pgBorders w:zOrder="front" w:display="allPages" w:offsetFrom="text"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  <w:font w:name="Cambria">
    <w:altName w:val="Cambria"/>
    <w:panose1 w:val="02040503050000030204"/>
    <w:charset w:val="00"/>
    <w:family w:val="roman"/>
    <w:pitch w:val="default"/>
    <w:sig w:usb0="E00006FF" w:usb1="420024FF" w:usb2="02000000" w:usb3="00000000" w:csb0="2000019F" w:csb1="00000000"/>
  </w:font>
  <w:font w:name="微软雅黑">
    <w:altName w:val="微软雅黑"/>
    <w:panose1 w:val="020b0503020000020204"/>
    <w:charset w:val="86"/>
    <w:family w:val="swiss"/>
    <w:pitch w:val="default"/>
    <w:sig w:usb0="80000287" w:usb1="2ACF3C50" w:usb2="00000016" w:usb3="00000000" w:csb0="0004001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_GB2312"/>
    <w:panose1 w:val="02010609030000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701"/>
  <w:drawingGridVerticalOrigin w:val="1984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46"/>
    <w:qFormat/>
    <w:uiPriority w:val="99"/>
    <w:pPr>
      <w:widowControl w:val="false"/>
      <w:autoSpaceDE w:val="false"/>
      <w:autoSpaceDN w:val="false"/>
      <w:adjustRightInd w:val="false"/>
    </w:pPr>
    <w:rPr>
      <w:rFonts w:ascii="Arial" w:cs="Arial" w:eastAsia="宋体" w:hAnsi="Arial" w:hint="eastAsia"/>
      <w:color w:val="000000"/>
      <w:sz w:val="24"/>
      <w:szCs w:val="24"/>
      <w:lang w:val="en-US" w:bidi="ar-SA" w:eastAsia="zh-CN"/>
    </w:rPr>
  </w:style>
  <w:style w:type="paragraph" w:styleId="style1">
    <w:name w:val="heading 1"/>
    <w:basedOn w:val="style0"/>
    <w:next w:val="style0"/>
    <w:link w:val="style4098"/>
    <w:qFormat/>
    <w:uiPriority w:val="9"/>
    <w:pPr>
      <w:outlineLvl w:val="0"/>
    </w:pPr>
    <w:rPr>
      <w:rFonts w:hint="eastAsia"/>
      <w:b/>
      <w:sz w:val="32"/>
      <w:szCs w:val="32"/>
    </w:rPr>
  </w:style>
  <w:style w:type="paragraph" w:styleId="style2">
    <w:name w:val="heading 2"/>
    <w:basedOn w:val="style0"/>
    <w:next w:val="style0"/>
    <w:link w:val="style4100"/>
    <w:qFormat/>
    <w:uiPriority w:val="99"/>
    <w:pPr>
      <w:outlineLvl w:val="1"/>
    </w:pPr>
    <w:rPr>
      <w:rFonts w:hint="eastAsia"/>
      <w:b/>
      <w:i/>
      <w:sz w:val="28"/>
      <w:szCs w:val="28"/>
    </w:rPr>
  </w:style>
  <w:style w:type="paragraph" w:styleId="style3">
    <w:name w:val="heading 3"/>
    <w:basedOn w:val="style0"/>
    <w:next w:val="style0"/>
    <w:link w:val="style4101"/>
    <w:qFormat/>
    <w:uiPriority w:val="99"/>
    <w:pPr>
      <w:outlineLvl w:val="2"/>
    </w:pPr>
    <w:rPr>
      <w:rFonts w:hint="eastAsia"/>
      <w:b/>
      <w:sz w:val="26"/>
      <w:szCs w:val="26"/>
    </w:rPr>
  </w:style>
  <w:style w:type="character" w:default="1" w:styleId="style65">
    <w:name w:val="Default Paragraph Font"/>
    <w:next w:val="style65"/>
    <w:qFormat/>
    <w:uiPriority w:val="1"/>
    <w:rPr>
      <w:rFonts w:hint="default"/>
      <w:sz w:val="24"/>
      <w:szCs w:val="24"/>
    </w:rPr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46">
    <w:name w:val="toa heading"/>
    <w:basedOn w:val="style0"/>
    <w:next w:val="style0"/>
    <w:qFormat/>
    <w:uiPriority w:val="99"/>
    <w:pPr>
      <w:spacing w:before="120" w:after="200" w:lineRule="auto" w:line="276"/>
    </w:pPr>
    <w:rPr>
      <w:rFonts w:ascii="Arial" w:hAnsi="Arial" w:hint="eastAsia"/>
      <w:sz w:val="24"/>
      <w:szCs w:val="24"/>
    </w:rPr>
  </w:style>
  <w:style w:type="paragraph" w:styleId="style32">
    <w:name w:val="footer"/>
    <w:basedOn w:val="style0"/>
    <w:next w:val="style32"/>
    <w:link w:val="style4097"/>
    <w:qFormat/>
    <w:uiPriority w:val="99"/>
    <w:pPr>
      <w:tabs>
        <w:tab w:val="center" w:leader="none" w:pos="4153"/>
        <w:tab w:val="right" w:leader="none" w:pos="8306"/>
      </w:tabs>
      <w:snapToGrid w:val="false"/>
    </w:pPr>
    <w:rPr>
      <w:rFonts w:hint="eastAsia"/>
      <w:sz w:val="18"/>
      <w:szCs w:val="18"/>
    </w:rPr>
  </w:style>
  <w:style w:type="paragraph" w:styleId="style31">
    <w:name w:val="header"/>
    <w:basedOn w:val="style0"/>
    <w:next w:val="style31"/>
    <w:link w:val="style4099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hint="eastAsia"/>
      <w:sz w:val="18"/>
      <w:szCs w:val="18"/>
    </w:rPr>
  </w:style>
  <w:style w:type="character" w:customStyle="1" w:styleId="style4097">
    <w:name w:val="页脚 Char"/>
    <w:basedOn w:val="style65"/>
    <w:next w:val="style4097"/>
    <w:link w:val="style32"/>
    <w:qFormat/>
    <w:uiPriority w:val="99"/>
    <w:rPr>
      <w:rFonts w:ascii="Arial" w:cs="Arial" w:eastAsia="宋体" w:hAnsi="Times New Roman" w:hint="default"/>
      <w:color w:val="000000"/>
      <w:sz w:val="18"/>
      <w:szCs w:val="18"/>
    </w:rPr>
  </w:style>
  <w:style w:type="character" w:customStyle="1" w:styleId="style4098">
    <w:name w:val="标题 1 Char"/>
    <w:basedOn w:val="style65"/>
    <w:next w:val="style4098"/>
    <w:link w:val="style1"/>
    <w:qFormat/>
    <w:uiPriority w:val="9"/>
    <w:rPr>
      <w:rFonts w:cs="Times New Roman" w:hint="default"/>
      <w:b/>
      <w:kern w:val="44"/>
      <w:sz w:val="44"/>
      <w:szCs w:val="44"/>
    </w:rPr>
  </w:style>
  <w:style w:type="character" w:customStyle="1" w:styleId="style4099">
    <w:name w:val="页眉 Char"/>
    <w:basedOn w:val="style65"/>
    <w:next w:val="style4099"/>
    <w:link w:val="style31"/>
    <w:qFormat/>
    <w:uiPriority w:val="99"/>
    <w:rPr>
      <w:rFonts w:ascii="Arial" w:cs="Arial" w:eastAsia="宋体" w:hAnsi="Times New Roman" w:hint="default"/>
      <w:color w:val="000000"/>
      <w:sz w:val="18"/>
      <w:szCs w:val="18"/>
    </w:rPr>
  </w:style>
  <w:style w:type="character" w:customStyle="1" w:styleId="style4100">
    <w:name w:val="标题 2 Char"/>
    <w:basedOn w:val="style65"/>
    <w:next w:val="style4100"/>
    <w:link w:val="style2"/>
    <w:qFormat/>
    <w:uiPriority w:val="9"/>
    <w:rPr>
      <w:rFonts w:ascii="Cambria" w:cs="Times New Roman" w:eastAsia="宋体" w:hAnsi="Cambria" w:hint="eastAsia"/>
      <w:b/>
      <w:sz w:val="32"/>
      <w:szCs w:val="32"/>
    </w:rPr>
  </w:style>
  <w:style w:type="character" w:customStyle="1" w:styleId="style4101">
    <w:name w:val="标题 3 Char"/>
    <w:basedOn w:val="style65"/>
    <w:next w:val="style4101"/>
    <w:link w:val="style3"/>
    <w:qFormat/>
    <w:uiPriority w:val="9"/>
    <w:rPr>
      <w:rFonts w:cs="Times New Roman" w:hint="default"/>
      <w:b/>
      <w:sz w:val="32"/>
      <w:szCs w:val="3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Words>2960</Words>
  <Pages>6</Pages>
  <Characters>3259</Characters>
  <Application>WPS Office</Application>
  <Paragraphs>211</Paragraphs>
  <ScaleCrop>false</ScaleCrop>
  <LinksUpToDate>false</LinksUpToDate>
  <CharactersWithSpaces>3320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2025-04-07T04:30:00Z</dcterms:created>
  <dc:creator>admin</dc:creator>
  <lastModifiedBy>WGR-W09</lastModifiedBy>
  <lastPrinted>2025-04-07T04:41:00Z</lastPrinted>
  <dcterms:modified xsi:type="dcterms:W3CDTF">2025-08-15T05:34:47Z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eyJoZGlkIjoiMDhiMjMzN2ViZjY0MjY3MzljZmI3MzBhNDgzNTE0ZmUiLCJ1c2VySWQiOiIxMDQ1NzU2MzIxIn0=</vt:lpwstr>
  </property>
  <property fmtid="{D5CDD505-2E9C-101B-9397-08002B2CF9AE}" pid="3" name="KSOProductBuildVer">
    <vt:lpwstr>2052-12.1.0.20305</vt:lpwstr>
  </property>
  <property fmtid="{D5CDD505-2E9C-101B-9397-08002B2CF9AE}" pid="4" name="ICV">
    <vt:lpwstr>7b45b265c0584e81813a146dcf66148f_23</vt:lpwstr>
  </property>
</Properties>
</file>