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8F2177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p>
    <w:p w14:paraId="4DA31BC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岳阳市市场监督管理局智慧监管综合指挥平台项目运维需求</w:t>
      </w:r>
    </w:p>
    <w:p w14:paraId="7866838B">
      <w:pPr>
        <w:rPr>
          <w:rFonts w:hint="default"/>
          <w:lang w:val="en-US" w:eastAsia="zh-CN"/>
        </w:rPr>
      </w:pPr>
    </w:p>
    <w:p w14:paraId="0DAEADF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lang w:val="en-US" w:eastAsia="zh-CN"/>
        </w:rPr>
      </w:pPr>
      <w:r>
        <w:rPr>
          <w:rFonts w:hint="default"/>
          <w:lang w:val="en-US" w:eastAsia="zh-CN"/>
        </w:rPr>
        <w:t>本项目主要</w:t>
      </w:r>
      <w:r>
        <w:rPr>
          <w:rFonts w:hint="eastAsia"/>
          <w:lang w:val="en-US" w:eastAsia="zh-CN"/>
        </w:rPr>
        <w:t>为岳阳市市场监督管理局智慧监管综合指挥平台</w:t>
      </w:r>
      <w:r>
        <w:rPr>
          <w:rFonts w:hint="default"/>
          <w:lang w:val="en-US" w:eastAsia="zh-CN"/>
        </w:rPr>
        <w:t>运维</w:t>
      </w:r>
      <w:r>
        <w:rPr>
          <w:rFonts w:hint="eastAsia"/>
          <w:lang w:val="en-US" w:eastAsia="zh-CN"/>
        </w:rPr>
        <w:t>服务</w:t>
      </w:r>
      <w:r>
        <w:rPr>
          <w:rFonts w:hint="default"/>
          <w:lang w:val="en-US" w:eastAsia="zh-CN"/>
        </w:rPr>
        <w:t>、安全加固服务、应急保障值守服务</w:t>
      </w:r>
      <w:r>
        <w:rPr>
          <w:rFonts w:hint="eastAsia"/>
          <w:lang w:val="en-US" w:eastAsia="zh-CN"/>
        </w:rPr>
        <w:t>以及与运维相关的</w:t>
      </w:r>
      <w:r>
        <w:rPr>
          <w:rFonts w:hint="default"/>
          <w:lang w:val="en-US" w:eastAsia="zh-CN"/>
        </w:rPr>
        <w:t>辅助</w:t>
      </w:r>
      <w:r>
        <w:rPr>
          <w:rFonts w:hint="eastAsia"/>
          <w:lang w:val="en-US" w:eastAsia="zh-CN"/>
        </w:rPr>
        <w:t>和</w:t>
      </w:r>
      <w:r>
        <w:rPr>
          <w:rFonts w:hint="default"/>
          <w:lang w:val="en-US" w:eastAsia="zh-CN"/>
        </w:rPr>
        <w:t>培训服务</w:t>
      </w:r>
      <w:r>
        <w:rPr>
          <w:rFonts w:hint="eastAsia"/>
          <w:lang w:val="en-US" w:eastAsia="zh-CN"/>
        </w:rPr>
        <w:t>，具体包括：</w:t>
      </w:r>
    </w:p>
    <w:p w14:paraId="0548520D">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lang w:eastAsia="zh-CN"/>
        </w:rPr>
      </w:pPr>
      <w:r>
        <w:rPr>
          <w:rFonts w:hint="eastAsia" w:ascii="黑体" w:hAnsi="黑体" w:eastAsia="黑体" w:cs="黑体"/>
        </w:rPr>
        <w:t xml:space="preserve"> 一、服务范围</w:t>
      </w:r>
    </w:p>
    <w:p w14:paraId="545FA4DD">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 w:hAnsi="楷体" w:eastAsia="楷体" w:cs="楷体"/>
          <w:lang w:eastAsia="zh-CN"/>
        </w:rPr>
      </w:pPr>
      <w:r>
        <w:rPr>
          <w:rFonts w:hint="eastAsia" w:ascii="楷体" w:hAnsi="楷体" w:eastAsia="楷体" w:cs="楷体"/>
          <w:lang w:eastAsia="zh-CN"/>
        </w:rPr>
        <w:t>（</w:t>
      </w:r>
      <w:r>
        <w:rPr>
          <w:rFonts w:hint="eastAsia" w:ascii="楷体" w:hAnsi="楷体" w:eastAsia="楷体" w:cs="楷体"/>
          <w:lang w:val="en-US" w:eastAsia="zh-CN"/>
        </w:rPr>
        <w:t>一</w:t>
      </w:r>
      <w:r>
        <w:rPr>
          <w:rFonts w:hint="eastAsia" w:ascii="楷体" w:hAnsi="楷体" w:eastAsia="楷体" w:cs="楷体"/>
          <w:lang w:eastAsia="zh-CN"/>
        </w:rPr>
        <w:t>）</w:t>
      </w:r>
      <w:r>
        <w:rPr>
          <w:rFonts w:hint="eastAsia" w:ascii="楷体" w:hAnsi="楷体" w:eastAsia="楷体" w:cs="楷体"/>
        </w:rPr>
        <w:t>基础设施运维</w:t>
      </w:r>
    </w:p>
    <w:p w14:paraId="5840B590">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eastAsia="zh-CN"/>
        </w:rPr>
      </w:pPr>
      <w:r>
        <w:rPr>
          <w:rFonts w:hint="eastAsia"/>
          <w:lang w:val="en-US" w:eastAsia="zh-CN"/>
        </w:rPr>
        <w:t>1.</w:t>
      </w:r>
      <w:r>
        <w:rPr>
          <w:rFonts w:hint="eastAsia"/>
        </w:rPr>
        <w:t>硬件监控：实时监测CPU、内存、磁盘、网络带宽使用率，设置阈值告警（如CPU&gt;90%自动通知）</w:t>
      </w:r>
      <w:r>
        <w:rPr>
          <w:rFonts w:hint="eastAsia"/>
          <w:lang w:eastAsia="zh-CN"/>
        </w:rPr>
        <w:t>。</w:t>
      </w:r>
    </w:p>
    <w:p w14:paraId="0B1B5F7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eastAsia="zh-CN"/>
        </w:rPr>
      </w:pPr>
      <w:r>
        <w:rPr>
          <w:rFonts w:hint="eastAsia"/>
          <w:lang w:val="en-US" w:eastAsia="zh-CN"/>
        </w:rPr>
        <w:t>2.</w:t>
      </w:r>
      <w:r>
        <w:rPr>
          <w:rFonts w:hint="eastAsia"/>
        </w:rPr>
        <w:t>操作系统与中间件</w:t>
      </w:r>
      <w:r>
        <w:rPr>
          <w:rFonts w:hint="eastAsia"/>
          <w:lang w:eastAsia="zh-CN"/>
        </w:rPr>
        <w:t>：</w:t>
      </w:r>
      <w:r>
        <w:rPr>
          <w:rFonts w:hint="eastAsia"/>
        </w:rPr>
        <w:t>定期更新操作系统补丁（每月1次安全更新）</w:t>
      </w:r>
      <w:r>
        <w:rPr>
          <w:rFonts w:hint="eastAsia"/>
          <w:lang w:eastAsia="zh-CN"/>
        </w:rPr>
        <w:t>，</w:t>
      </w:r>
      <w:r>
        <w:rPr>
          <w:rFonts w:hint="eastAsia"/>
        </w:rPr>
        <w:t>升级</w:t>
      </w:r>
      <w:r>
        <w:rPr>
          <w:rFonts w:hint="eastAsia"/>
          <w:lang w:eastAsia="zh-CN"/>
        </w:rPr>
        <w:t>、</w:t>
      </w:r>
      <w:r>
        <w:rPr>
          <w:rFonts w:hint="eastAsia"/>
          <w:lang w:val="en-US" w:eastAsia="zh-CN"/>
        </w:rPr>
        <w:t>优化</w:t>
      </w:r>
      <w:r>
        <w:rPr>
          <w:rFonts w:hint="eastAsia"/>
        </w:rPr>
        <w:t>中间件（Nginx/Tomcat/Redis）及数据库版本，</w:t>
      </w:r>
      <w:r>
        <w:rPr>
          <w:rFonts w:hint="eastAsia"/>
          <w:lang w:val="en-US" w:eastAsia="zh-CN"/>
        </w:rPr>
        <w:t>优化数据库查询、索引和配置</w:t>
      </w:r>
      <w:r>
        <w:rPr>
          <w:rFonts w:hint="eastAsia"/>
          <w:lang w:eastAsia="zh-CN"/>
        </w:rPr>
        <w:t>。</w:t>
      </w:r>
    </w:p>
    <w:p w14:paraId="64C858D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eastAsia="zh-CN"/>
        </w:rPr>
      </w:pPr>
      <w:r>
        <w:rPr>
          <w:rFonts w:hint="eastAsia"/>
          <w:lang w:val="en-US" w:eastAsia="zh-CN"/>
        </w:rPr>
        <w:t>3.</w:t>
      </w:r>
      <w:r>
        <w:rPr>
          <w:rFonts w:hint="eastAsia"/>
        </w:rPr>
        <w:t>日志分析</w:t>
      </w:r>
      <w:r>
        <w:rPr>
          <w:rFonts w:hint="eastAsia"/>
          <w:lang w:eastAsia="zh-CN"/>
        </w:rPr>
        <w:t>：</w:t>
      </w:r>
      <w:r>
        <w:rPr>
          <w:rFonts w:hint="eastAsia"/>
          <w:lang w:val="en-US" w:eastAsia="zh-CN"/>
        </w:rPr>
        <w:t>有效</w:t>
      </w:r>
      <w:r>
        <w:rPr>
          <w:rFonts w:hint="eastAsia"/>
        </w:rPr>
        <w:t>审查系统日志</w:t>
      </w:r>
      <w:r>
        <w:rPr>
          <w:rFonts w:hint="eastAsia"/>
          <w:lang w:eastAsia="zh-CN"/>
        </w:rPr>
        <w:t>、</w:t>
      </w:r>
      <w:r>
        <w:rPr>
          <w:rFonts w:hint="eastAsia"/>
          <w:lang w:val="en-US" w:eastAsia="zh-CN"/>
        </w:rPr>
        <w:t>开展故障排查与诊断</w:t>
      </w:r>
      <w:r>
        <w:rPr>
          <w:rFonts w:hint="eastAsia"/>
        </w:rPr>
        <w:t>，识别攻击行为（如异常登录</w:t>
      </w:r>
      <w:r>
        <w:rPr>
          <w:rFonts w:hint="eastAsia"/>
          <w:lang w:eastAsia="zh-CN"/>
        </w:rPr>
        <w:t>、</w:t>
      </w:r>
      <w:r>
        <w:rPr>
          <w:rFonts w:hint="eastAsia"/>
          <w:lang w:val="en-US" w:eastAsia="zh-CN"/>
        </w:rPr>
        <w:t>SQL注入攻击</w:t>
      </w:r>
      <w:r>
        <w:rPr>
          <w:rFonts w:hint="eastAsia"/>
        </w:rPr>
        <w:t>）、性能瓶颈</w:t>
      </w:r>
      <w:r>
        <w:rPr>
          <w:rFonts w:hint="eastAsia"/>
          <w:lang w:val="en-US" w:eastAsia="zh-CN"/>
        </w:rPr>
        <w:t>定位</w:t>
      </w:r>
      <w:r>
        <w:rPr>
          <w:rFonts w:hint="eastAsia"/>
        </w:rPr>
        <w:t>（慢查询日志）</w:t>
      </w:r>
      <w:r>
        <w:rPr>
          <w:rFonts w:hint="eastAsia"/>
          <w:lang w:val="en-US" w:eastAsia="zh-CN"/>
        </w:rPr>
        <w:t>等</w:t>
      </w:r>
      <w:r>
        <w:rPr>
          <w:rFonts w:hint="eastAsia"/>
          <w:lang w:eastAsia="zh-CN"/>
        </w:rPr>
        <w:t>，</w:t>
      </w:r>
      <w:r>
        <w:rPr>
          <w:rFonts w:hint="eastAsia"/>
          <w:lang w:val="en-US" w:eastAsia="zh-CN"/>
        </w:rPr>
        <w:t>并</w:t>
      </w:r>
      <w:r>
        <w:rPr>
          <w:rFonts w:hint="eastAsia"/>
        </w:rPr>
        <w:t>生成月度安全事件报告及优化建议</w:t>
      </w:r>
      <w:r>
        <w:rPr>
          <w:rFonts w:hint="eastAsia"/>
          <w:lang w:eastAsia="zh-CN"/>
        </w:rPr>
        <w:t>。</w:t>
      </w:r>
    </w:p>
    <w:p w14:paraId="406718D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楷体" w:hAnsi="楷体" w:eastAsia="楷体" w:cs="楷体"/>
          <w:lang w:eastAsia="zh-CN"/>
        </w:rPr>
        <w:t>（</w:t>
      </w:r>
      <w:r>
        <w:rPr>
          <w:rFonts w:hint="eastAsia" w:ascii="楷体" w:hAnsi="楷体" w:eastAsia="楷体" w:cs="楷体"/>
          <w:lang w:val="en-US" w:eastAsia="zh-CN"/>
        </w:rPr>
        <w:t>二</w:t>
      </w:r>
      <w:r>
        <w:rPr>
          <w:rFonts w:hint="eastAsia" w:ascii="楷体" w:hAnsi="楷体" w:eastAsia="楷体" w:cs="楷体"/>
          <w:lang w:eastAsia="zh-CN"/>
        </w:rPr>
        <w:t>）安全防护</w:t>
      </w:r>
      <w:r>
        <w:rPr>
          <w:rFonts w:hint="eastAsia"/>
        </w:rPr>
        <w:t xml:space="preserve">  </w:t>
      </w:r>
    </w:p>
    <w:p w14:paraId="5EF1435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lang w:val="en-US" w:eastAsia="zh-CN"/>
        </w:rPr>
        <w:t>1.</w:t>
      </w:r>
      <w:r>
        <w:rPr>
          <w:rFonts w:hint="eastAsia"/>
        </w:rPr>
        <w:t>网络安全</w:t>
      </w:r>
      <w:r>
        <w:rPr>
          <w:rFonts w:hint="eastAsia"/>
          <w:lang w:val="en-US" w:eastAsia="zh-CN"/>
        </w:rPr>
        <w:t>防护</w:t>
      </w:r>
      <w:r>
        <w:rPr>
          <w:rFonts w:hint="eastAsia"/>
        </w:rPr>
        <w:t>：</w:t>
      </w:r>
      <w:r>
        <w:rPr>
          <w:rFonts w:hint="eastAsia"/>
          <w:lang w:val="en-US" w:eastAsia="zh-CN"/>
        </w:rPr>
        <w:t>协助采购方按照网络安全主管部门、市大数据中心等政务云管理部门的要求开展网络安全防护工作，包括但不限于处置网络安全通告、通知，协助开展网络安全应急演练，处理网络安全应急事件，协助开展网络安全等保测评，并在运维服务范围内做好或协助做好差距整改。</w:t>
      </w:r>
      <w:r>
        <w:rPr>
          <w:rFonts w:hint="eastAsia"/>
        </w:rPr>
        <w:t xml:space="preserve">  </w:t>
      </w:r>
    </w:p>
    <w:p w14:paraId="471E35C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eastAsia="仿宋_GB2312"/>
          <w:lang w:eastAsia="zh-CN"/>
        </w:rPr>
      </w:pPr>
      <w:r>
        <w:rPr>
          <w:rFonts w:hint="eastAsia"/>
          <w:lang w:val="en-US" w:eastAsia="zh-CN"/>
        </w:rPr>
        <w:t>2.</w:t>
      </w:r>
      <w:r>
        <w:rPr>
          <w:rFonts w:hint="eastAsia"/>
        </w:rPr>
        <w:t>漏洞管理</w:t>
      </w:r>
      <w:r>
        <w:rPr>
          <w:rFonts w:hint="eastAsia"/>
          <w:lang w:eastAsia="zh-CN"/>
        </w:rPr>
        <w:t>：</w:t>
      </w:r>
      <w:r>
        <w:rPr>
          <w:rFonts w:hint="eastAsia"/>
          <w:lang w:val="en-US" w:eastAsia="zh-CN"/>
        </w:rPr>
        <w:t>定期开展</w:t>
      </w:r>
      <w:r>
        <w:rPr>
          <w:rFonts w:hint="eastAsia"/>
        </w:rPr>
        <w:t>Web应用漏洞（OWASP Top 10）扫描</w:t>
      </w:r>
      <w:r>
        <w:rPr>
          <w:rFonts w:hint="eastAsia"/>
          <w:lang w:eastAsia="zh-CN"/>
        </w:rPr>
        <w:t>，</w:t>
      </w:r>
      <w:r>
        <w:rPr>
          <w:rFonts w:hint="eastAsia"/>
        </w:rPr>
        <w:t>每季度</w:t>
      </w:r>
      <w:r>
        <w:rPr>
          <w:rFonts w:hint="eastAsia"/>
          <w:lang w:val="en-US" w:eastAsia="zh-CN"/>
        </w:rPr>
        <w:t>开展</w:t>
      </w:r>
      <w:r>
        <w:rPr>
          <w:rFonts w:hint="eastAsia"/>
        </w:rPr>
        <w:t>渗透测试（覆盖API、内网系统）</w:t>
      </w:r>
      <w:r>
        <w:rPr>
          <w:rFonts w:hint="eastAsia"/>
          <w:lang w:val="en-US" w:eastAsia="zh-CN"/>
        </w:rPr>
        <w:t>，及时</w:t>
      </w:r>
      <w:r>
        <w:rPr>
          <w:rFonts w:hint="eastAsia"/>
        </w:rPr>
        <w:t>修复</w:t>
      </w:r>
      <w:r>
        <w:rPr>
          <w:rFonts w:hint="eastAsia"/>
          <w:lang w:val="en-US" w:eastAsia="zh-CN"/>
        </w:rPr>
        <w:t>各类</w:t>
      </w:r>
      <w:r>
        <w:rPr>
          <w:rFonts w:hint="eastAsia"/>
        </w:rPr>
        <w:t>漏洞</w:t>
      </w:r>
      <w:r>
        <w:rPr>
          <w:rFonts w:hint="eastAsia"/>
          <w:lang w:eastAsia="zh-CN"/>
        </w:rPr>
        <w:t>。</w:t>
      </w:r>
    </w:p>
    <w:p w14:paraId="2FE36D55">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eastAsia="仿宋_GB2312"/>
          <w:lang w:eastAsia="zh-CN"/>
        </w:rPr>
      </w:pPr>
      <w:r>
        <w:rPr>
          <w:rFonts w:hint="eastAsia"/>
          <w:lang w:val="en-US" w:eastAsia="zh-CN"/>
        </w:rPr>
        <w:t>3.</w:t>
      </w:r>
      <w:r>
        <w:rPr>
          <w:rFonts w:hint="eastAsia"/>
        </w:rPr>
        <w:t>访问控制：实施最小权限原则，特权账号通过堡垒机管理</w:t>
      </w:r>
      <w:r>
        <w:rPr>
          <w:rFonts w:hint="eastAsia"/>
          <w:lang w:eastAsia="zh-CN"/>
        </w:rPr>
        <w:t>，</w:t>
      </w:r>
      <w:r>
        <w:rPr>
          <w:rFonts w:hint="eastAsia"/>
        </w:rPr>
        <w:t>每季度复核用户权限（</w:t>
      </w:r>
      <w:r>
        <w:rPr>
          <w:rFonts w:hint="eastAsia"/>
          <w:lang w:val="en-US" w:eastAsia="zh-CN"/>
        </w:rPr>
        <w:t>如</w:t>
      </w:r>
      <w:r>
        <w:rPr>
          <w:rFonts w:hint="eastAsia"/>
        </w:rPr>
        <w:t>删除离职账号</w:t>
      </w:r>
      <w:r>
        <w:rPr>
          <w:rFonts w:hint="eastAsia"/>
          <w:lang w:eastAsia="zh-CN"/>
        </w:rPr>
        <w:t>、</w:t>
      </w:r>
      <w:r>
        <w:rPr>
          <w:rFonts w:hint="eastAsia"/>
          <w:lang w:val="en-US" w:eastAsia="zh-CN"/>
        </w:rPr>
        <w:t>禁用使用异常账号</w:t>
      </w:r>
      <w:r>
        <w:rPr>
          <w:rFonts w:hint="eastAsia"/>
        </w:rPr>
        <w:t>）</w:t>
      </w:r>
      <w:r>
        <w:rPr>
          <w:rFonts w:hint="eastAsia"/>
          <w:lang w:eastAsia="zh-CN"/>
        </w:rPr>
        <w:t>。</w:t>
      </w:r>
    </w:p>
    <w:p w14:paraId="34609967">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 w:hAnsi="楷体" w:eastAsia="楷体" w:cs="楷体"/>
          <w:lang w:eastAsia="zh-CN"/>
        </w:rPr>
      </w:pPr>
      <w:r>
        <w:rPr>
          <w:rFonts w:hint="eastAsia" w:ascii="楷体" w:hAnsi="楷体" w:eastAsia="楷体" w:cs="楷体"/>
          <w:lang w:eastAsia="zh-CN"/>
        </w:rPr>
        <w:t>（</w:t>
      </w:r>
      <w:r>
        <w:rPr>
          <w:rFonts w:hint="eastAsia" w:ascii="楷体" w:hAnsi="楷体" w:eastAsia="楷体" w:cs="楷体"/>
          <w:lang w:val="en-US" w:eastAsia="zh-CN"/>
        </w:rPr>
        <w:t>三</w:t>
      </w:r>
      <w:r>
        <w:rPr>
          <w:rFonts w:hint="eastAsia" w:ascii="楷体" w:hAnsi="楷体" w:eastAsia="楷体" w:cs="楷体"/>
          <w:lang w:eastAsia="zh-CN"/>
        </w:rPr>
        <w:t>）数据与备份管理</w:t>
      </w:r>
    </w:p>
    <w:p w14:paraId="4552E837">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eastAsia="zh-CN"/>
        </w:rPr>
      </w:pPr>
      <w:r>
        <w:rPr>
          <w:rFonts w:hint="eastAsia"/>
          <w:lang w:val="en-US" w:eastAsia="zh-CN"/>
        </w:rPr>
        <w:t>1.</w:t>
      </w:r>
      <w:r>
        <w:rPr>
          <w:rFonts w:hint="eastAsia"/>
        </w:rPr>
        <w:t>数据安全：</w:t>
      </w:r>
      <w:r>
        <w:rPr>
          <w:rFonts w:hint="eastAsia"/>
          <w:lang w:val="en-US" w:eastAsia="zh-CN"/>
        </w:rPr>
        <w:t>对个人手机号码、身份证等</w:t>
      </w:r>
      <w:r>
        <w:rPr>
          <w:rFonts w:hint="eastAsia"/>
        </w:rPr>
        <w:t>敏感数据加密传输（HTTPS/TLS）及存储</w:t>
      </w:r>
      <w:r>
        <w:rPr>
          <w:rFonts w:hint="eastAsia"/>
          <w:lang w:eastAsia="zh-CN"/>
        </w:rPr>
        <w:t>，</w:t>
      </w:r>
      <w:r>
        <w:rPr>
          <w:rFonts w:hint="eastAsia"/>
        </w:rPr>
        <w:t>测试环境</w:t>
      </w:r>
      <w:r>
        <w:rPr>
          <w:rFonts w:hint="eastAsia"/>
          <w:lang w:val="en-US" w:eastAsia="zh-CN"/>
        </w:rPr>
        <w:t>中的</w:t>
      </w:r>
      <w:r>
        <w:rPr>
          <w:rFonts w:hint="eastAsia"/>
        </w:rPr>
        <w:t>数据</w:t>
      </w:r>
      <w:r>
        <w:rPr>
          <w:rFonts w:hint="eastAsia"/>
          <w:lang w:val="en-US" w:eastAsia="zh-CN"/>
        </w:rPr>
        <w:t>应当</w:t>
      </w:r>
      <w:r>
        <w:rPr>
          <w:rFonts w:hint="eastAsia"/>
        </w:rPr>
        <w:t>脱敏（掩码、假名化）</w:t>
      </w:r>
      <w:r>
        <w:rPr>
          <w:rFonts w:hint="eastAsia"/>
          <w:lang w:eastAsia="zh-CN"/>
        </w:rPr>
        <w:t>，</w:t>
      </w:r>
      <w:r>
        <w:rPr>
          <w:rFonts w:hint="eastAsia"/>
          <w:lang w:val="en-US" w:eastAsia="zh-CN"/>
        </w:rPr>
        <w:t>监控异常数据查询、导出行为</w:t>
      </w:r>
      <w:r>
        <w:rPr>
          <w:rFonts w:hint="eastAsia"/>
          <w:lang w:eastAsia="zh-CN"/>
        </w:rPr>
        <w:t>。</w:t>
      </w:r>
    </w:p>
    <w:p w14:paraId="4EF66779">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eastAsia="zh-CN"/>
        </w:rPr>
      </w:pPr>
      <w:r>
        <w:rPr>
          <w:rFonts w:hint="eastAsia"/>
          <w:lang w:val="en-US" w:eastAsia="zh-CN"/>
        </w:rPr>
        <w:t>2.</w:t>
      </w:r>
      <w:r>
        <w:rPr>
          <w:rFonts w:hint="eastAsia"/>
        </w:rPr>
        <w:t>备份与灾备：3份副本（本地2份+异地1份）、</w:t>
      </w:r>
      <w:r>
        <w:rPr>
          <w:rFonts w:hint="eastAsia"/>
          <w:lang w:val="en-US" w:eastAsia="zh-CN"/>
        </w:rPr>
        <w:t>1</w:t>
      </w:r>
      <w:r>
        <w:rPr>
          <w:rFonts w:hint="eastAsia"/>
        </w:rPr>
        <w:t>种介质（磁盘）、1份离线存储</w:t>
      </w:r>
      <w:r>
        <w:rPr>
          <w:rFonts w:hint="eastAsia"/>
          <w:lang w:eastAsia="zh-CN"/>
        </w:rPr>
        <w:t>。</w:t>
      </w:r>
    </w:p>
    <w:p w14:paraId="735D8D9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eastAsia="zh-CN"/>
        </w:rPr>
      </w:pPr>
      <w:r>
        <w:rPr>
          <w:rFonts w:hint="eastAsia"/>
          <w:lang w:val="en-US" w:eastAsia="zh-CN"/>
        </w:rPr>
        <w:t>3.</w:t>
      </w:r>
      <w:r>
        <w:rPr>
          <w:rFonts w:hint="eastAsia"/>
        </w:rPr>
        <w:t>每季度恢复演练（验证数据库/配置文件可恢复性）</w:t>
      </w:r>
      <w:r>
        <w:rPr>
          <w:rFonts w:hint="eastAsia"/>
          <w:lang w:eastAsia="zh-CN"/>
        </w:rPr>
        <w:t>。</w:t>
      </w:r>
    </w:p>
    <w:p w14:paraId="6A6E55E9">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 w:hAnsi="楷体" w:eastAsia="楷体" w:cs="楷体"/>
          <w:lang w:eastAsia="zh-CN"/>
        </w:rPr>
      </w:pPr>
      <w:r>
        <w:rPr>
          <w:rFonts w:hint="eastAsia" w:ascii="楷体" w:hAnsi="楷体" w:eastAsia="楷体" w:cs="楷体"/>
          <w:lang w:eastAsia="zh-CN"/>
        </w:rPr>
        <w:t>（</w:t>
      </w:r>
      <w:r>
        <w:rPr>
          <w:rFonts w:hint="eastAsia" w:ascii="楷体" w:hAnsi="楷体" w:eastAsia="楷体" w:cs="楷体"/>
          <w:lang w:val="en-US" w:eastAsia="zh-CN"/>
        </w:rPr>
        <w:t>四</w:t>
      </w:r>
      <w:r>
        <w:rPr>
          <w:rFonts w:hint="eastAsia" w:ascii="楷体" w:hAnsi="楷体" w:eastAsia="楷体" w:cs="楷体"/>
          <w:lang w:eastAsia="zh-CN"/>
        </w:rPr>
        <w:t>）系统优化与功能维护</w:t>
      </w:r>
    </w:p>
    <w:p w14:paraId="2A6D3335">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eastAsia="仿宋_GB2312"/>
          <w:lang w:eastAsia="zh-CN"/>
        </w:rPr>
      </w:pPr>
      <w:r>
        <w:rPr>
          <w:rFonts w:hint="eastAsia"/>
          <w:lang w:val="en-US" w:eastAsia="zh-CN"/>
        </w:rPr>
        <w:t>1.</w:t>
      </w:r>
      <w:r>
        <w:rPr>
          <w:rFonts w:hint="eastAsia"/>
        </w:rPr>
        <w:t>性能调优：数据库表结构优化、慢查询索引调整（每月1次）</w:t>
      </w:r>
      <w:r>
        <w:rPr>
          <w:rFonts w:hint="eastAsia"/>
          <w:lang w:eastAsia="zh-CN"/>
        </w:rPr>
        <w:t>，</w:t>
      </w:r>
      <w:r>
        <w:rPr>
          <w:rFonts w:hint="eastAsia"/>
        </w:rPr>
        <w:t>中间件参数优化（Tomcat线程池、Redis内存分配）</w:t>
      </w:r>
      <w:r>
        <w:rPr>
          <w:rFonts w:hint="eastAsia"/>
          <w:lang w:eastAsia="zh-CN"/>
        </w:rPr>
        <w:t>。</w:t>
      </w:r>
    </w:p>
    <w:p w14:paraId="54432427">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eastAsia="zh-CN"/>
        </w:rPr>
      </w:pPr>
      <w:r>
        <w:rPr>
          <w:rFonts w:hint="eastAsia"/>
          <w:lang w:val="en-US" w:eastAsia="zh-CN"/>
        </w:rPr>
        <w:t>2.</w:t>
      </w:r>
      <w:r>
        <w:rPr>
          <w:rFonts w:hint="eastAsia"/>
        </w:rPr>
        <w:t>前端与接口：界面展示</w:t>
      </w:r>
      <w:r>
        <w:rPr>
          <w:rFonts w:hint="eastAsia"/>
          <w:lang w:eastAsia="zh-CN"/>
        </w:rPr>
        <w:t>（</w:t>
      </w:r>
      <w:r>
        <w:rPr>
          <w:rFonts w:hint="eastAsia"/>
          <w:lang w:val="en-US" w:eastAsia="zh-CN"/>
        </w:rPr>
        <w:t>根据采购方的要求对</w:t>
      </w:r>
      <w:r>
        <w:rPr>
          <w:rFonts w:hint="eastAsia"/>
          <w:lang w:eastAsia="zh-CN"/>
        </w:rPr>
        <w:t>）</w:t>
      </w:r>
      <w:r>
        <w:rPr>
          <w:rFonts w:hint="eastAsia"/>
          <w:lang w:val="en-US" w:eastAsia="zh-CN"/>
        </w:rPr>
        <w:t>和</w:t>
      </w:r>
      <w:r>
        <w:rPr>
          <w:rFonts w:hint="eastAsia"/>
        </w:rPr>
        <w:t>数据</w:t>
      </w:r>
      <w:r>
        <w:rPr>
          <w:rFonts w:hint="eastAsia"/>
          <w:lang w:val="en-US" w:eastAsia="zh-CN"/>
        </w:rPr>
        <w:t>查询</w:t>
      </w:r>
      <w:r>
        <w:rPr>
          <w:rFonts w:hint="eastAsia"/>
        </w:rPr>
        <w:t>优化（响应速度&lt;2秒）</w:t>
      </w:r>
      <w:r>
        <w:rPr>
          <w:rFonts w:hint="eastAsia"/>
          <w:lang w:eastAsia="zh-CN"/>
        </w:rPr>
        <w:t>，</w:t>
      </w:r>
      <w:r>
        <w:rPr>
          <w:rFonts w:hint="eastAsia"/>
        </w:rPr>
        <w:t>接口兼容性测试（系统升级后验证表单提交、数据对接）</w:t>
      </w:r>
      <w:r>
        <w:rPr>
          <w:rFonts w:hint="eastAsia"/>
          <w:lang w:eastAsia="zh-CN"/>
        </w:rPr>
        <w:t>。</w:t>
      </w:r>
    </w:p>
    <w:p w14:paraId="57993E25">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 w:hAnsi="楷体" w:eastAsia="楷体" w:cs="楷体"/>
          <w:lang w:val="en-US" w:eastAsia="zh-CN"/>
        </w:rPr>
      </w:pPr>
      <w:r>
        <w:rPr>
          <w:rFonts w:hint="eastAsia" w:ascii="楷体" w:hAnsi="楷体" w:eastAsia="楷体" w:cs="楷体"/>
          <w:lang w:eastAsia="zh-CN"/>
        </w:rPr>
        <w:t>（</w:t>
      </w:r>
      <w:r>
        <w:rPr>
          <w:rFonts w:hint="eastAsia" w:ascii="楷体" w:hAnsi="楷体" w:eastAsia="楷体" w:cs="楷体"/>
          <w:lang w:val="en-US" w:eastAsia="zh-CN"/>
        </w:rPr>
        <w:t>五</w:t>
      </w:r>
      <w:r>
        <w:rPr>
          <w:rFonts w:hint="eastAsia" w:ascii="楷体" w:hAnsi="楷体" w:eastAsia="楷体" w:cs="楷体"/>
          <w:lang w:eastAsia="zh-CN"/>
        </w:rPr>
        <w:t>）</w:t>
      </w:r>
      <w:r>
        <w:rPr>
          <w:rFonts w:hint="eastAsia" w:ascii="楷体" w:hAnsi="楷体" w:eastAsia="楷体" w:cs="楷体"/>
          <w:lang w:val="en-US" w:eastAsia="zh-CN"/>
        </w:rPr>
        <w:t>应急保障及辅助服务</w:t>
      </w:r>
    </w:p>
    <w:p w14:paraId="0CDE08F9">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1.现场应急保障服务：全市范围内有较大影响的突发性事件、市级以上领导干部现场调研、市级以上重大市场监管行动、经采购方要求并提前沟通的其他应急保障服务（</w:t>
      </w:r>
      <w:r>
        <w:rPr>
          <w:rFonts w:hint="eastAsia"/>
          <w:sz w:val="28"/>
          <w:szCs w:val="28"/>
          <w:vertAlign w:val="baseline"/>
          <w:lang w:val="en-US" w:eastAsia="zh-CN"/>
        </w:rPr>
        <w:t>≤4次</w:t>
      </w:r>
      <w:r>
        <w:rPr>
          <w:rFonts w:hint="eastAsia"/>
          <w:lang w:val="en-US" w:eastAsia="zh-CN"/>
        </w:rPr>
        <w:t>）。</w:t>
      </w:r>
    </w:p>
    <w:p w14:paraId="7D1FC22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2.其他应急保障服务：通过远程操作、技术支持等形式完成现场应急保障以外的突发事件处置。</w:t>
      </w:r>
    </w:p>
    <w:p w14:paraId="647DE480">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lang w:val="en-US" w:eastAsia="zh-CN"/>
        </w:rPr>
      </w:pPr>
      <w:r>
        <w:rPr>
          <w:rFonts w:hint="eastAsia"/>
          <w:lang w:val="en-US" w:eastAsia="zh-CN"/>
        </w:rPr>
        <w:t>3.辅助服务：基于运维经验提供信息化建设咨询与规划服务，开展人员培训、编写运维手册和故障处理指南。</w:t>
      </w:r>
    </w:p>
    <w:p w14:paraId="1D6E9F2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黑体" w:hAnsi="黑体" w:eastAsia="黑体" w:cs="黑体"/>
          <w:lang w:val="en-US" w:eastAsia="zh-CN"/>
        </w:rPr>
      </w:pPr>
      <w:r>
        <w:rPr>
          <w:rFonts w:hint="eastAsia" w:ascii="黑体" w:hAnsi="黑体" w:eastAsia="黑体" w:cs="黑体"/>
          <w:lang w:val="en-US" w:eastAsia="zh-CN"/>
        </w:rPr>
        <w:t>二、运维指标</w:t>
      </w:r>
    </w:p>
    <w:tbl>
      <w:tblPr>
        <w:tblStyle w:val="12"/>
        <w:tblW w:w="9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934"/>
        <w:gridCol w:w="3289"/>
        <w:gridCol w:w="3091"/>
      </w:tblGrid>
      <w:tr w14:paraId="401ACDD8">
        <w:tblPrEx>
          <w:tblLayout w:type="fixed"/>
        </w:tblPrEx>
        <w:trPr>
          <w:jc w:val="center"/>
        </w:trPr>
        <w:tc>
          <w:tcPr>
            <w:tcW w:w="871" w:type="dxa"/>
            <w:vAlign w:val="center"/>
          </w:tcPr>
          <w:p w14:paraId="33C7A49E">
            <w:pPr>
              <w:jc w:val="center"/>
              <w:rPr>
                <w:rFonts w:hint="eastAsia" w:eastAsia="仿宋_GB2312"/>
                <w:sz w:val="28"/>
                <w:szCs w:val="28"/>
                <w:vertAlign w:val="baseline"/>
                <w:lang w:val="en-US" w:eastAsia="zh-CN"/>
              </w:rPr>
            </w:pPr>
            <w:r>
              <w:rPr>
                <w:rFonts w:hint="eastAsia"/>
                <w:sz w:val="28"/>
                <w:szCs w:val="28"/>
                <w:vertAlign w:val="baseline"/>
                <w:lang w:val="en-US" w:eastAsia="zh-CN"/>
              </w:rPr>
              <w:t>序号</w:t>
            </w:r>
          </w:p>
        </w:tc>
        <w:tc>
          <w:tcPr>
            <w:tcW w:w="1934" w:type="dxa"/>
            <w:vAlign w:val="center"/>
          </w:tcPr>
          <w:p w14:paraId="0DAF3347">
            <w:pPr>
              <w:jc w:val="center"/>
              <w:rPr>
                <w:rFonts w:hint="eastAsia" w:eastAsia="仿宋_GB2312"/>
                <w:sz w:val="28"/>
                <w:szCs w:val="28"/>
                <w:vertAlign w:val="baseline"/>
                <w:lang w:val="en-US" w:eastAsia="zh-CN"/>
              </w:rPr>
            </w:pPr>
            <w:r>
              <w:rPr>
                <w:rFonts w:hint="eastAsia"/>
                <w:sz w:val="28"/>
                <w:szCs w:val="28"/>
                <w:vertAlign w:val="baseline"/>
                <w:lang w:val="en-US" w:eastAsia="zh-CN"/>
              </w:rPr>
              <w:t>指标</w:t>
            </w:r>
          </w:p>
        </w:tc>
        <w:tc>
          <w:tcPr>
            <w:tcW w:w="3289" w:type="dxa"/>
            <w:vAlign w:val="center"/>
          </w:tcPr>
          <w:p w14:paraId="5C1544E0">
            <w:pPr>
              <w:jc w:val="center"/>
              <w:rPr>
                <w:rFonts w:hint="eastAsia" w:eastAsia="仿宋_GB2312"/>
                <w:sz w:val="28"/>
                <w:szCs w:val="28"/>
                <w:vertAlign w:val="baseline"/>
                <w:lang w:val="en-US" w:eastAsia="zh-CN"/>
              </w:rPr>
            </w:pPr>
            <w:r>
              <w:rPr>
                <w:rFonts w:hint="eastAsia"/>
                <w:sz w:val="28"/>
                <w:szCs w:val="28"/>
                <w:vertAlign w:val="baseline"/>
                <w:lang w:val="en-US" w:eastAsia="zh-CN"/>
              </w:rPr>
              <w:t>要求</w:t>
            </w:r>
          </w:p>
        </w:tc>
        <w:tc>
          <w:tcPr>
            <w:tcW w:w="3091" w:type="dxa"/>
            <w:vAlign w:val="center"/>
          </w:tcPr>
          <w:p w14:paraId="653C0E43">
            <w:pPr>
              <w:jc w:val="center"/>
              <w:rPr>
                <w:rFonts w:hint="eastAsia" w:eastAsia="仿宋_GB2312"/>
                <w:sz w:val="28"/>
                <w:szCs w:val="28"/>
                <w:vertAlign w:val="baseline"/>
                <w:lang w:val="en-US" w:eastAsia="zh-CN"/>
              </w:rPr>
            </w:pPr>
            <w:r>
              <w:rPr>
                <w:rFonts w:hint="eastAsia"/>
                <w:sz w:val="28"/>
                <w:szCs w:val="28"/>
                <w:vertAlign w:val="baseline"/>
                <w:lang w:val="en-US" w:eastAsia="zh-CN"/>
              </w:rPr>
              <w:t>说明</w:t>
            </w:r>
          </w:p>
        </w:tc>
      </w:tr>
      <w:tr w14:paraId="4063F587">
        <w:tblPrEx>
          <w:tblLayout w:type="fixed"/>
        </w:tblPrEx>
        <w:trPr>
          <w:jc w:val="center"/>
        </w:trPr>
        <w:tc>
          <w:tcPr>
            <w:tcW w:w="871" w:type="dxa"/>
            <w:vAlign w:val="center"/>
          </w:tcPr>
          <w:p w14:paraId="2191A072">
            <w:pPr>
              <w:jc w:val="center"/>
              <w:rPr>
                <w:rFonts w:hint="eastAsia" w:eastAsia="仿宋_GB2312"/>
                <w:sz w:val="28"/>
                <w:szCs w:val="28"/>
                <w:vertAlign w:val="baseline"/>
                <w:lang w:val="en-US" w:eastAsia="zh-CN"/>
              </w:rPr>
            </w:pPr>
            <w:r>
              <w:rPr>
                <w:rFonts w:hint="eastAsia"/>
                <w:sz w:val="28"/>
                <w:szCs w:val="28"/>
                <w:vertAlign w:val="baseline"/>
                <w:lang w:val="en-US" w:eastAsia="zh-CN"/>
              </w:rPr>
              <w:t>1</w:t>
            </w:r>
          </w:p>
        </w:tc>
        <w:tc>
          <w:tcPr>
            <w:tcW w:w="1934" w:type="dxa"/>
            <w:vAlign w:val="center"/>
          </w:tcPr>
          <w:p w14:paraId="4C950548">
            <w:pPr>
              <w:jc w:val="center"/>
              <w:rPr>
                <w:rFonts w:hint="default"/>
                <w:sz w:val="28"/>
                <w:szCs w:val="28"/>
                <w:vertAlign w:val="baseline"/>
                <w:lang w:val="en-US" w:eastAsia="zh-CN"/>
              </w:rPr>
            </w:pPr>
            <w:r>
              <w:rPr>
                <w:rFonts w:hint="eastAsia"/>
                <w:sz w:val="28"/>
                <w:szCs w:val="28"/>
                <w:vertAlign w:val="baseline"/>
                <w:lang w:val="en-US" w:eastAsia="zh-CN"/>
              </w:rPr>
              <w:t>系统可用性和稳定性</w:t>
            </w:r>
          </w:p>
        </w:tc>
        <w:tc>
          <w:tcPr>
            <w:tcW w:w="3289" w:type="dxa"/>
            <w:vAlign w:val="center"/>
          </w:tcPr>
          <w:p w14:paraId="4A8F03DD">
            <w:pPr>
              <w:jc w:val="center"/>
              <w:rPr>
                <w:rFonts w:hint="eastAsia"/>
                <w:sz w:val="28"/>
                <w:szCs w:val="28"/>
                <w:vertAlign w:val="baseline"/>
              </w:rPr>
            </w:pPr>
            <w:r>
              <w:rPr>
                <w:rFonts w:hint="eastAsia"/>
                <w:sz w:val="28"/>
                <w:szCs w:val="28"/>
                <w:vertAlign w:val="baseline"/>
              </w:rPr>
              <w:t>≥99.9%（年宕机≤8.76h）</w:t>
            </w:r>
          </w:p>
        </w:tc>
        <w:tc>
          <w:tcPr>
            <w:tcW w:w="3091" w:type="dxa"/>
            <w:vAlign w:val="center"/>
          </w:tcPr>
          <w:p w14:paraId="6E534EC0">
            <w:pPr>
              <w:jc w:val="left"/>
              <w:rPr>
                <w:rFonts w:hint="default"/>
                <w:sz w:val="28"/>
                <w:szCs w:val="28"/>
                <w:vertAlign w:val="baseline"/>
                <w:lang w:val="en-US"/>
              </w:rPr>
            </w:pPr>
            <w:r>
              <w:rPr>
                <w:rFonts w:hint="eastAsia"/>
                <w:sz w:val="28"/>
                <w:szCs w:val="28"/>
                <w:vertAlign w:val="baseline"/>
                <w:lang w:val="en-US" w:eastAsia="zh-CN"/>
              </w:rPr>
              <w:t>每低0.1%扣款1%，节假日每低1%扣款1%</w:t>
            </w:r>
          </w:p>
        </w:tc>
      </w:tr>
      <w:tr w14:paraId="4A87B86E">
        <w:tblPrEx>
          <w:tblLayout w:type="fixed"/>
        </w:tblPrEx>
        <w:trPr>
          <w:jc w:val="center"/>
        </w:trPr>
        <w:tc>
          <w:tcPr>
            <w:tcW w:w="871" w:type="dxa"/>
            <w:vAlign w:val="center"/>
          </w:tcPr>
          <w:p w14:paraId="54049D6E">
            <w:pPr>
              <w:jc w:val="center"/>
              <w:rPr>
                <w:rFonts w:hint="eastAsia" w:eastAsia="仿宋_GB2312"/>
                <w:sz w:val="28"/>
                <w:szCs w:val="28"/>
                <w:vertAlign w:val="baseline"/>
                <w:lang w:val="en-US" w:eastAsia="zh-CN"/>
              </w:rPr>
            </w:pPr>
            <w:r>
              <w:rPr>
                <w:rFonts w:hint="eastAsia"/>
                <w:sz w:val="28"/>
                <w:szCs w:val="28"/>
                <w:vertAlign w:val="baseline"/>
                <w:lang w:val="en-US" w:eastAsia="zh-CN"/>
              </w:rPr>
              <w:t>2</w:t>
            </w:r>
          </w:p>
        </w:tc>
        <w:tc>
          <w:tcPr>
            <w:tcW w:w="1934" w:type="dxa"/>
            <w:vAlign w:val="center"/>
          </w:tcPr>
          <w:p w14:paraId="346FC5B3">
            <w:pPr>
              <w:jc w:val="center"/>
              <w:rPr>
                <w:rFonts w:hint="eastAsia"/>
                <w:sz w:val="28"/>
                <w:szCs w:val="28"/>
                <w:vertAlign w:val="baseline"/>
              </w:rPr>
            </w:pPr>
            <w:r>
              <w:rPr>
                <w:rFonts w:hint="eastAsia"/>
                <w:sz w:val="28"/>
                <w:szCs w:val="28"/>
                <w:vertAlign w:val="baseline"/>
                <w:lang w:val="en-US" w:eastAsia="zh-CN"/>
              </w:rPr>
              <w:t>故障响应时间</w:t>
            </w:r>
          </w:p>
        </w:tc>
        <w:tc>
          <w:tcPr>
            <w:tcW w:w="3289" w:type="dxa"/>
            <w:vAlign w:val="center"/>
          </w:tcPr>
          <w:p w14:paraId="503EBE77">
            <w:pPr>
              <w:jc w:val="center"/>
              <w:rPr>
                <w:rFonts w:hint="eastAsia"/>
                <w:sz w:val="28"/>
                <w:szCs w:val="28"/>
                <w:vertAlign w:val="baseline"/>
              </w:rPr>
            </w:pPr>
            <w:r>
              <w:rPr>
                <w:rFonts w:hint="eastAsia"/>
                <w:sz w:val="28"/>
                <w:szCs w:val="28"/>
                <w:vertAlign w:val="baseline"/>
                <w:lang w:val="en-US" w:eastAsia="zh-CN"/>
              </w:rPr>
              <w:t>≤15分钟（7×24小时）</w:t>
            </w:r>
          </w:p>
        </w:tc>
        <w:tc>
          <w:tcPr>
            <w:tcW w:w="3091" w:type="dxa"/>
            <w:vAlign w:val="center"/>
          </w:tcPr>
          <w:p w14:paraId="24D96215">
            <w:pPr>
              <w:jc w:val="left"/>
              <w:rPr>
                <w:rFonts w:hint="eastAsia"/>
                <w:sz w:val="28"/>
                <w:szCs w:val="28"/>
                <w:vertAlign w:val="baseline"/>
              </w:rPr>
            </w:pPr>
            <w:r>
              <w:rPr>
                <w:rFonts w:hint="eastAsia"/>
                <w:sz w:val="28"/>
                <w:szCs w:val="28"/>
                <w:vertAlign w:val="baseline"/>
                <w:lang w:val="en-US" w:eastAsia="zh-CN"/>
              </w:rPr>
              <w:t>3次响应超过要求时间的，再超时按次扣款</w:t>
            </w:r>
          </w:p>
        </w:tc>
      </w:tr>
      <w:tr w14:paraId="2FE3B281">
        <w:tblPrEx>
          <w:tblLayout w:type="fixed"/>
        </w:tblPrEx>
        <w:trPr>
          <w:jc w:val="center"/>
        </w:trPr>
        <w:tc>
          <w:tcPr>
            <w:tcW w:w="871" w:type="dxa"/>
            <w:vAlign w:val="center"/>
          </w:tcPr>
          <w:p w14:paraId="56D61E8E">
            <w:pPr>
              <w:jc w:val="center"/>
              <w:rPr>
                <w:rFonts w:hint="default"/>
                <w:sz w:val="28"/>
                <w:szCs w:val="28"/>
                <w:vertAlign w:val="baseline"/>
                <w:lang w:val="en-US" w:eastAsia="zh-CN"/>
              </w:rPr>
            </w:pPr>
            <w:r>
              <w:rPr>
                <w:rFonts w:hint="eastAsia"/>
                <w:sz w:val="28"/>
                <w:szCs w:val="28"/>
                <w:vertAlign w:val="baseline"/>
                <w:lang w:val="en-US" w:eastAsia="zh-CN"/>
              </w:rPr>
              <w:t>3</w:t>
            </w:r>
          </w:p>
        </w:tc>
        <w:tc>
          <w:tcPr>
            <w:tcW w:w="1934" w:type="dxa"/>
            <w:vAlign w:val="center"/>
          </w:tcPr>
          <w:p w14:paraId="46ADF562">
            <w:pPr>
              <w:jc w:val="center"/>
              <w:rPr>
                <w:rFonts w:hint="default"/>
                <w:sz w:val="28"/>
                <w:szCs w:val="28"/>
                <w:vertAlign w:val="baseline"/>
                <w:lang w:val="en-US" w:eastAsia="zh-CN"/>
              </w:rPr>
            </w:pPr>
            <w:r>
              <w:rPr>
                <w:rFonts w:hint="eastAsia"/>
                <w:sz w:val="28"/>
                <w:szCs w:val="28"/>
                <w:vertAlign w:val="baseline"/>
                <w:lang w:val="en-US" w:eastAsia="zh-CN"/>
              </w:rPr>
              <w:t>故障解决时间</w:t>
            </w:r>
          </w:p>
        </w:tc>
        <w:tc>
          <w:tcPr>
            <w:tcW w:w="3289" w:type="dxa"/>
            <w:vAlign w:val="center"/>
          </w:tcPr>
          <w:p w14:paraId="727C1595">
            <w:pPr>
              <w:jc w:val="center"/>
              <w:rPr>
                <w:rFonts w:hint="default"/>
                <w:sz w:val="28"/>
                <w:szCs w:val="28"/>
                <w:vertAlign w:val="baseline"/>
                <w:lang w:val="en-US" w:eastAsia="zh-CN"/>
              </w:rPr>
            </w:pPr>
            <w:r>
              <w:rPr>
                <w:rFonts w:hint="eastAsia"/>
                <w:sz w:val="28"/>
                <w:szCs w:val="28"/>
                <w:vertAlign w:val="baseline"/>
                <w:lang w:val="en-US" w:eastAsia="zh-CN"/>
              </w:rPr>
              <w:t>平均≤2小时</w:t>
            </w:r>
          </w:p>
        </w:tc>
        <w:tc>
          <w:tcPr>
            <w:tcW w:w="3091" w:type="dxa"/>
            <w:vAlign w:val="center"/>
          </w:tcPr>
          <w:p w14:paraId="08ECC01D">
            <w:pPr>
              <w:jc w:val="left"/>
              <w:rPr>
                <w:rFonts w:hint="eastAsia"/>
                <w:sz w:val="28"/>
                <w:szCs w:val="28"/>
                <w:vertAlign w:val="baseline"/>
                <w:lang w:val="en-US" w:eastAsia="zh-CN"/>
              </w:rPr>
            </w:pPr>
          </w:p>
        </w:tc>
      </w:tr>
      <w:tr w14:paraId="43B4E8F7">
        <w:tblPrEx>
          <w:tblLayout w:type="fixed"/>
        </w:tblPrEx>
        <w:trPr>
          <w:jc w:val="center"/>
        </w:trPr>
        <w:tc>
          <w:tcPr>
            <w:tcW w:w="871" w:type="dxa"/>
            <w:vAlign w:val="center"/>
          </w:tcPr>
          <w:p w14:paraId="51133440">
            <w:pPr>
              <w:jc w:val="center"/>
              <w:rPr>
                <w:rFonts w:hint="eastAsia"/>
                <w:sz w:val="28"/>
                <w:szCs w:val="28"/>
                <w:vertAlign w:val="baseline"/>
                <w:lang w:val="en-US" w:eastAsia="zh-CN"/>
              </w:rPr>
            </w:pPr>
            <w:r>
              <w:rPr>
                <w:rFonts w:hint="eastAsia"/>
                <w:sz w:val="28"/>
                <w:szCs w:val="28"/>
                <w:vertAlign w:val="baseline"/>
                <w:lang w:val="en-US" w:eastAsia="zh-CN"/>
              </w:rPr>
              <w:t>4</w:t>
            </w:r>
          </w:p>
        </w:tc>
        <w:tc>
          <w:tcPr>
            <w:tcW w:w="1934" w:type="dxa"/>
            <w:vAlign w:val="center"/>
          </w:tcPr>
          <w:p w14:paraId="3B6795FE">
            <w:pPr>
              <w:jc w:val="center"/>
              <w:rPr>
                <w:rFonts w:hint="default"/>
                <w:sz w:val="28"/>
                <w:szCs w:val="28"/>
                <w:vertAlign w:val="baseline"/>
                <w:lang w:val="en-US" w:eastAsia="zh-CN"/>
              </w:rPr>
            </w:pPr>
            <w:r>
              <w:rPr>
                <w:rFonts w:hint="eastAsia"/>
                <w:sz w:val="28"/>
                <w:szCs w:val="28"/>
                <w:vertAlign w:val="baseline"/>
                <w:lang w:val="en-US" w:eastAsia="zh-CN"/>
              </w:rPr>
              <w:t>漏洞修复时效</w:t>
            </w:r>
          </w:p>
        </w:tc>
        <w:tc>
          <w:tcPr>
            <w:tcW w:w="3289" w:type="dxa"/>
            <w:vAlign w:val="center"/>
          </w:tcPr>
          <w:p w14:paraId="29797A9A">
            <w:pPr>
              <w:jc w:val="center"/>
              <w:rPr>
                <w:rFonts w:hint="default"/>
                <w:sz w:val="28"/>
                <w:szCs w:val="28"/>
                <w:vertAlign w:val="baseline"/>
                <w:lang w:val="en-US" w:eastAsia="zh-CN"/>
              </w:rPr>
            </w:pPr>
            <w:r>
              <w:rPr>
                <w:rFonts w:hint="eastAsia"/>
                <w:sz w:val="28"/>
                <w:szCs w:val="28"/>
                <w:vertAlign w:val="baseline"/>
                <w:lang w:val="en-US" w:eastAsia="zh-CN"/>
              </w:rPr>
              <w:t>高危漏洞≤48小时</w:t>
            </w:r>
          </w:p>
        </w:tc>
        <w:tc>
          <w:tcPr>
            <w:tcW w:w="3091" w:type="dxa"/>
            <w:vAlign w:val="center"/>
          </w:tcPr>
          <w:p w14:paraId="7515C94E">
            <w:pPr>
              <w:jc w:val="left"/>
              <w:rPr>
                <w:rFonts w:hint="eastAsia"/>
                <w:sz w:val="28"/>
                <w:szCs w:val="28"/>
                <w:vertAlign w:val="baseline"/>
                <w:lang w:val="en-US" w:eastAsia="zh-CN"/>
              </w:rPr>
            </w:pPr>
            <w:r>
              <w:rPr>
                <w:rFonts w:hint="eastAsia"/>
                <w:sz w:val="28"/>
                <w:szCs w:val="28"/>
                <w:vertAlign w:val="baseline"/>
                <w:lang w:val="en-US" w:eastAsia="zh-CN"/>
              </w:rPr>
              <w:t>延期每日扣款2%</w:t>
            </w:r>
          </w:p>
        </w:tc>
      </w:tr>
      <w:tr w14:paraId="436BB13C">
        <w:tblPrEx>
          <w:tblLayout w:type="fixed"/>
        </w:tblPrEx>
        <w:trPr>
          <w:jc w:val="center"/>
        </w:trPr>
        <w:tc>
          <w:tcPr>
            <w:tcW w:w="871" w:type="dxa"/>
            <w:vAlign w:val="center"/>
          </w:tcPr>
          <w:p w14:paraId="3BB6DD40">
            <w:pPr>
              <w:jc w:val="center"/>
              <w:rPr>
                <w:rFonts w:hint="eastAsia"/>
                <w:sz w:val="28"/>
                <w:szCs w:val="28"/>
                <w:vertAlign w:val="baseline"/>
                <w:lang w:val="en-US" w:eastAsia="zh-CN"/>
              </w:rPr>
            </w:pPr>
            <w:r>
              <w:rPr>
                <w:rFonts w:hint="eastAsia"/>
                <w:sz w:val="28"/>
                <w:szCs w:val="28"/>
                <w:vertAlign w:val="baseline"/>
                <w:lang w:val="en-US" w:eastAsia="zh-CN"/>
              </w:rPr>
              <w:t>5</w:t>
            </w:r>
          </w:p>
        </w:tc>
        <w:tc>
          <w:tcPr>
            <w:tcW w:w="1934" w:type="dxa"/>
            <w:vAlign w:val="center"/>
          </w:tcPr>
          <w:p w14:paraId="3212840C">
            <w:pPr>
              <w:jc w:val="center"/>
              <w:rPr>
                <w:rFonts w:hint="default"/>
                <w:sz w:val="28"/>
                <w:szCs w:val="28"/>
                <w:vertAlign w:val="baseline"/>
                <w:lang w:val="en-US" w:eastAsia="zh-CN"/>
              </w:rPr>
            </w:pPr>
            <w:r>
              <w:rPr>
                <w:rFonts w:hint="eastAsia"/>
                <w:sz w:val="28"/>
                <w:szCs w:val="28"/>
                <w:vertAlign w:val="baseline"/>
                <w:lang w:val="en-US" w:eastAsia="zh-CN"/>
              </w:rPr>
              <w:t>漏洞修复率</w:t>
            </w:r>
          </w:p>
        </w:tc>
        <w:tc>
          <w:tcPr>
            <w:tcW w:w="3289" w:type="dxa"/>
            <w:vAlign w:val="center"/>
          </w:tcPr>
          <w:p w14:paraId="392C3C40">
            <w:pPr>
              <w:jc w:val="center"/>
              <w:rPr>
                <w:rFonts w:hint="eastAsia"/>
                <w:sz w:val="28"/>
                <w:szCs w:val="28"/>
                <w:vertAlign w:val="baseline"/>
                <w:lang w:val="en-US" w:eastAsia="zh-CN"/>
              </w:rPr>
            </w:pPr>
            <w:r>
              <w:rPr>
                <w:rFonts w:hint="eastAsia"/>
                <w:sz w:val="28"/>
                <w:szCs w:val="28"/>
                <w:vertAlign w:val="baseline"/>
                <w:lang w:val="en-US" w:eastAsia="zh-CN"/>
              </w:rPr>
              <w:t>≥90%</w:t>
            </w:r>
          </w:p>
        </w:tc>
        <w:tc>
          <w:tcPr>
            <w:tcW w:w="3091" w:type="dxa"/>
            <w:vAlign w:val="center"/>
          </w:tcPr>
          <w:p w14:paraId="30289916">
            <w:pPr>
              <w:jc w:val="left"/>
              <w:rPr>
                <w:rFonts w:hint="default"/>
                <w:sz w:val="28"/>
                <w:szCs w:val="28"/>
                <w:vertAlign w:val="baseline"/>
                <w:lang w:val="en-US" w:eastAsia="zh-CN"/>
              </w:rPr>
            </w:pPr>
          </w:p>
        </w:tc>
      </w:tr>
      <w:tr w14:paraId="0658B799">
        <w:tblPrEx>
          <w:tblLayout w:type="fixed"/>
        </w:tblPrEx>
        <w:trPr>
          <w:jc w:val="center"/>
        </w:trPr>
        <w:tc>
          <w:tcPr>
            <w:tcW w:w="871" w:type="dxa"/>
            <w:shd w:val="clear" w:color="auto" w:fill="auto"/>
            <w:vAlign w:val="center"/>
          </w:tcPr>
          <w:p w14:paraId="46E10661">
            <w:pPr>
              <w:jc w:val="center"/>
              <w:rPr>
                <w:rFonts w:hint="default" w:ascii="Times New Roman" w:hAnsi="Times New Roman" w:eastAsia="仿宋_GB2312" w:cs="pingfang sc"/>
                <w:kern w:val="0"/>
                <w:sz w:val="28"/>
                <w:szCs w:val="28"/>
                <w:vertAlign w:val="baseline"/>
                <w:lang w:val="en-US" w:eastAsia="zh-CN" w:bidi="ar-SA"/>
              </w:rPr>
            </w:pPr>
            <w:r>
              <w:rPr>
                <w:rFonts w:hint="eastAsia" w:cs="pingfang sc"/>
                <w:kern w:val="0"/>
                <w:sz w:val="28"/>
                <w:szCs w:val="28"/>
                <w:vertAlign w:val="baseline"/>
                <w:lang w:val="en-US" w:eastAsia="zh-CN" w:bidi="ar-SA"/>
              </w:rPr>
              <w:t>6</w:t>
            </w:r>
          </w:p>
        </w:tc>
        <w:tc>
          <w:tcPr>
            <w:tcW w:w="1934" w:type="dxa"/>
            <w:shd w:val="clear" w:color="auto" w:fill="auto"/>
            <w:vAlign w:val="center"/>
          </w:tcPr>
          <w:p w14:paraId="251A10CA">
            <w:pPr>
              <w:jc w:val="center"/>
              <w:rPr>
                <w:rFonts w:hint="eastAsia" w:ascii="Times New Roman" w:hAnsi="Times New Roman" w:eastAsia="仿宋_GB2312" w:cs="pingfang sc"/>
                <w:kern w:val="0"/>
                <w:sz w:val="28"/>
                <w:szCs w:val="28"/>
                <w:vertAlign w:val="baseline"/>
                <w:lang w:val="en-US" w:eastAsia="zh-CN" w:bidi="ar-SA"/>
              </w:rPr>
            </w:pPr>
            <w:r>
              <w:rPr>
                <w:rFonts w:hint="eastAsia"/>
                <w:sz w:val="28"/>
                <w:szCs w:val="28"/>
                <w:vertAlign w:val="baseline"/>
                <w:lang w:val="en-US" w:eastAsia="zh-CN"/>
              </w:rPr>
              <w:t>系统、数据恢复时效</w:t>
            </w:r>
          </w:p>
        </w:tc>
        <w:tc>
          <w:tcPr>
            <w:tcW w:w="3289" w:type="dxa"/>
            <w:shd w:val="clear" w:color="auto" w:fill="auto"/>
            <w:vAlign w:val="center"/>
          </w:tcPr>
          <w:p w14:paraId="3D815775">
            <w:pPr>
              <w:jc w:val="center"/>
              <w:rPr>
                <w:rFonts w:hint="eastAsia" w:ascii="Times New Roman" w:hAnsi="Times New Roman" w:eastAsia="仿宋_GB2312" w:cs="pingfang sc"/>
                <w:kern w:val="0"/>
                <w:sz w:val="28"/>
                <w:szCs w:val="28"/>
                <w:vertAlign w:val="baseline"/>
                <w:lang w:val="en-US" w:eastAsia="zh-CN" w:bidi="ar-SA"/>
              </w:rPr>
            </w:pPr>
            <w:r>
              <w:rPr>
                <w:rFonts w:hint="eastAsia"/>
                <w:sz w:val="28"/>
                <w:szCs w:val="28"/>
                <w:vertAlign w:val="baseline"/>
                <w:lang w:val="en-US" w:eastAsia="zh-CN"/>
              </w:rPr>
              <w:t>≤4小时</w:t>
            </w:r>
          </w:p>
        </w:tc>
        <w:tc>
          <w:tcPr>
            <w:tcW w:w="3091" w:type="dxa"/>
            <w:shd w:val="clear" w:color="auto" w:fill="auto"/>
            <w:vAlign w:val="center"/>
          </w:tcPr>
          <w:p w14:paraId="07D9AF30">
            <w:pPr>
              <w:jc w:val="left"/>
              <w:rPr>
                <w:rFonts w:hint="eastAsia" w:ascii="Times New Roman" w:hAnsi="Times New Roman" w:eastAsia="仿宋_GB2312" w:cs="pingfang sc"/>
                <w:kern w:val="0"/>
                <w:sz w:val="28"/>
                <w:szCs w:val="28"/>
                <w:vertAlign w:val="baseline"/>
                <w:lang w:val="en-US" w:eastAsia="zh-CN" w:bidi="ar-SA"/>
              </w:rPr>
            </w:pPr>
            <w:r>
              <w:rPr>
                <w:rFonts w:hint="eastAsia"/>
                <w:sz w:val="28"/>
                <w:szCs w:val="28"/>
                <w:vertAlign w:val="baseline"/>
                <w:lang w:val="en-US" w:eastAsia="zh-CN"/>
              </w:rPr>
              <w:t>超时承担相应业务损失</w:t>
            </w:r>
          </w:p>
        </w:tc>
      </w:tr>
      <w:tr w14:paraId="568DD106">
        <w:tblPrEx>
          <w:tblLayout w:type="fixed"/>
        </w:tblPrEx>
        <w:trPr>
          <w:jc w:val="center"/>
        </w:trPr>
        <w:tc>
          <w:tcPr>
            <w:tcW w:w="871" w:type="dxa"/>
            <w:shd w:val="clear" w:color="auto" w:fill="auto"/>
            <w:vAlign w:val="center"/>
          </w:tcPr>
          <w:p w14:paraId="13435D0E">
            <w:pPr>
              <w:jc w:val="center"/>
              <w:rPr>
                <w:rFonts w:hint="default" w:cs="pingfang sc"/>
                <w:kern w:val="0"/>
                <w:sz w:val="28"/>
                <w:szCs w:val="28"/>
                <w:vertAlign w:val="baseline"/>
                <w:lang w:val="en-US" w:eastAsia="zh-CN" w:bidi="ar-SA"/>
              </w:rPr>
            </w:pPr>
            <w:r>
              <w:rPr>
                <w:rFonts w:hint="eastAsia" w:cs="pingfang sc"/>
                <w:kern w:val="0"/>
                <w:sz w:val="28"/>
                <w:szCs w:val="28"/>
                <w:vertAlign w:val="baseline"/>
                <w:lang w:val="en-US" w:eastAsia="zh-CN" w:bidi="ar-SA"/>
              </w:rPr>
              <w:t>7</w:t>
            </w:r>
          </w:p>
        </w:tc>
        <w:tc>
          <w:tcPr>
            <w:tcW w:w="1934" w:type="dxa"/>
            <w:shd w:val="clear" w:color="auto" w:fill="auto"/>
            <w:vAlign w:val="center"/>
          </w:tcPr>
          <w:p w14:paraId="016FCAF0">
            <w:pPr>
              <w:jc w:val="center"/>
              <w:rPr>
                <w:rFonts w:hint="default"/>
                <w:sz w:val="28"/>
                <w:szCs w:val="28"/>
                <w:vertAlign w:val="baseline"/>
                <w:lang w:val="en-US" w:eastAsia="zh-CN"/>
              </w:rPr>
            </w:pPr>
            <w:r>
              <w:rPr>
                <w:rFonts w:hint="eastAsia"/>
                <w:sz w:val="28"/>
                <w:szCs w:val="28"/>
                <w:vertAlign w:val="baseline"/>
                <w:lang w:val="en-US" w:eastAsia="zh-CN"/>
              </w:rPr>
              <w:t>系统、数据备份与恢复</w:t>
            </w:r>
          </w:p>
        </w:tc>
        <w:tc>
          <w:tcPr>
            <w:tcW w:w="3289" w:type="dxa"/>
            <w:shd w:val="clear" w:color="auto" w:fill="auto"/>
            <w:vAlign w:val="center"/>
          </w:tcPr>
          <w:p w14:paraId="041D0EE6">
            <w:pPr>
              <w:jc w:val="center"/>
              <w:rPr>
                <w:rFonts w:hint="default"/>
                <w:sz w:val="28"/>
                <w:szCs w:val="28"/>
                <w:vertAlign w:val="baseline"/>
                <w:lang w:val="en-US" w:eastAsia="zh-CN"/>
              </w:rPr>
            </w:pPr>
            <w:r>
              <w:rPr>
                <w:rFonts w:hint="eastAsia"/>
                <w:sz w:val="28"/>
                <w:szCs w:val="28"/>
                <w:vertAlign w:val="baseline"/>
                <w:lang w:val="en-US" w:eastAsia="zh-CN"/>
              </w:rPr>
              <w:t>数据备份成功率≥99.9%，恢复成功率100%</w:t>
            </w:r>
          </w:p>
        </w:tc>
        <w:tc>
          <w:tcPr>
            <w:tcW w:w="3091" w:type="dxa"/>
            <w:shd w:val="clear" w:color="auto" w:fill="auto"/>
            <w:vAlign w:val="center"/>
          </w:tcPr>
          <w:p w14:paraId="5BC36293">
            <w:pPr>
              <w:jc w:val="left"/>
              <w:rPr>
                <w:rFonts w:hint="default"/>
                <w:sz w:val="28"/>
                <w:szCs w:val="28"/>
                <w:vertAlign w:val="baseline"/>
                <w:lang w:val="en-US" w:eastAsia="zh-CN"/>
              </w:rPr>
            </w:pPr>
            <w:r>
              <w:rPr>
                <w:rFonts w:hint="eastAsia"/>
                <w:sz w:val="28"/>
                <w:szCs w:val="28"/>
                <w:vertAlign w:val="baseline"/>
                <w:lang w:val="en-US" w:eastAsia="zh-CN"/>
              </w:rPr>
              <w:t>因未恢复或超时恢复，承担相应损失</w:t>
            </w:r>
          </w:p>
        </w:tc>
      </w:tr>
      <w:tr w14:paraId="5FC7669C">
        <w:tblPrEx>
          <w:tblLayout w:type="fixed"/>
        </w:tblPrEx>
        <w:trPr>
          <w:jc w:val="center"/>
        </w:trPr>
        <w:tc>
          <w:tcPr>
            <w:tcW w:w="871" w:type="dxa"/>
            <w:shd w:val="clear" w:color="auto" w:fill="auto"/>
            <w:vAlign w:val="center"/>
          </w:tcPr>
          <w:p w14:paraId="739FB9C5">
            <w:pPr>
              <w:jc w:val="center"/>
              <w:rPr>
                <w:rFonts w:hint="default" w:cs="pingfang sc"/>
                <w:kern w:val="0"/>
                <w:sz w:val="28"/>
                <w:szCs w:val="28"/>
                <w:vertAlign w:val="baseline"/>
                <w:lang w:val="en-US" w:eastAsia="zh-CN" w:bidi="ar-SA"/>
              </w:rPr>
            </w:pPr>
            <w:r>
              <w:rPr>
                <w:rFonts w:hint="eastAsia" w:cs="pingfang sc"/>
                <w:kern w:val="0"/>
                <w:sz w:val="28"/>
                <w:szCs w:val="28"/>
                <w:vertAlign w:val="baseline"/>
                <w:lang w:val="en-US" w:eastAsia="zh-CN" w:bidi="ar-SA"/>
              </w:rPr>
              <w:t>8</w:t>
            </w:r>
          </w:p>
        </w:tc>
        <w:tc>
          <w:tcPr>
            <w:tcW w:w="1934" w:type="dxa"/>
            <w:shd w:val="clear" w:color="auto" w:fill="auto"/>
            <w:vAlign w:val="center"/>
          </w:tcPr>
          <w:p w14:paraId="572232E6">
            <w:pPr>
              <w:jc w:val="center"/>
              <w:rPr>
                <w:rFonts w:hint="default"/>
                <w:sz w:val="28"/>
                <w:szCs w:val="28"/>
                <w:vertAlign w:val="baseline"/>
                <w:lang w:val="en-US" w:eastAsia="zh-CN"/>
              </w:rPr>
            </w:pPr>
            <w:r>
              <w:rPr>
                <w:rFonts w:hint="eastAsia"/>
                <w:sz w:val="28"/>
                <w:szCs w:val="28"/>
                <w:vertAlign w:val="baseline"/>
                <w:lang w:val="en-US" w:eastAsia="zh-CN"/>
              </w:rPr>
              <w:t>问题复发率</w:t>
            </w:r>
          </w:p>
        </w:tc>
        <w:tc>
          <w:tcPr>
            <w:tcW w:w="3289" w:type="dxa"/>
            <w:shd w:val="clear" w:color="auto" w:fill="auto"/>
            <w:vAlign w:val="center"/>
          </w:tcPr>
          <w:p w14:paraId="53FEB264">
            <w:pPr>
              <w:jc w:val="center"/>
              <w:rPr>
                <w:rFonts w:hint="default"/>
                <w:sz w:val="28"/>
                <w:szCs w:val="28"/>
                <w:vertAlign w:val="baseline"/>
                <w:lang w:val="en-US" w:eastAsia="zh-CN"/>
              </w:rPr>
            </w:pPr>
            <w:r>
              <w:rPr>
                <w:rFonts w:hint="eastAsia"/>
                <w:sz w:val="28"/>
                <w:szCs w:val="28"/>
                <w:vertAlign w:val="baseline"/>
                <w:lang w:val="en-US" w:eastAsia="zh-CN"/>
              </w:rPr>
              <w:t>已解决故障在半年内连续发生≤3次</w:t>
            </w:r>
          </w:p>
        </w:tc>
        <w:tc>
          <w:tcPr>
            <w:tcW w:w="3091" w:type="dxa"/>
            <w:shd w:val="clear" w:color="auto" w:fill="auto"/>
            <w:vAlign w:val="center"/>
          </w:tcPr>
          <w:p w14:paraId="70CC0026">
            <w:pPr>
              <w:jc w:val="left"/>
              <w:rPr>
                <w:rFonts w:hint="eastAsia"/>
                <w:sz w:val="28"/>
                <w:szCs w:val="28"/>
                <w:vertAlign w:val="baseline"/>
                <w:lang w:val="en-US" w:eastAsia="zh-CN"/>
              </w:rPr>
            </w:pPr>
            <w:r>
              <w:rPr>
                <w:rFonts w:hint="eastAsia"/>
                <w:sz w:val="28"/>
                <w:szCs w:val="28"/>
                <w:vertAlign w:val="baseline"/>
                <w:lang w:val="en-US" w:eastAsia="zh-CN"/>
              </w:rPr>
              <w:t>优化根本原因分析流程</w:t>
            </w:r>
          </w:p>
        </w:tc>
      </w:tr>
    </w:tbl>
    <w:p w14:paraId="72CAB0C5">
      <w:pPr>
        <w:jc w:val="both"/>
        <w:rPr>
          <w:rFonts w:hint="eastAsia"/>
          <w:sz w:val="28"/>
          <w:szCs w:val="28"/>
          <w:vertAlign w:val="baseline"/>
          <w:lang w:val="en-US" w:eastAsia="zh-CN"/>
        </w:rPr>
      </w:pPr>
      <w:r>
        <w:rPr>
          <w:rFonts w:hint="eastAsia"/>
          <w:sz w:val="28"/>
          <w:szCs w:val="28"/>
          <w:vertAlign w:val="baseline"/>
          <w:lang w:val="en-US" w:eastAsia="zh-CN"/>
        </w:rPr>
        <w:t>注：以上指标应在月度运维执行报告中体现。</w:t>
      </w:r>
    </w:p>
    <w:p w14:paraId="1BA7F9D7">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rPr>
      </w:pPr>
      <w:r>
        <w:rPr>
          <w:rFonts w:hint="eastAsia" w:ascii="黑体" w:hAnsi="黑体" w:eastAsia="黑体" w:cs="黑体"/>
        </w:rPr>
        <w:t>三、人员资质</w:t>
      </w:r>
    </w:p>
    <w:p w14:paraId="34CAB9E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本项目是新建信息系统项目运维，需要中标方具有地级市以上政府部门软件开发类信息化项目运维能力和项目运维经验，并能够根据采购方要求或项目运维需求具备或者派驻以下专业技术人员：</w:t>
      </w:r>
    </w:p>
    <w:p w14:paraId="75F00F4D">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1.投标方应具有系统集成维保服务企业能力等级甲级资质证书、网络安全系统保障企业能力等级甲级资质证书，服务商应具有稳定的运维专业服务团队。</w:t>
      </w:r>
    </w:p>
    <w:p w14:paraId="088C4E9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2.项目</w:t>
      </w:r>
      <w:r>
        <w:rPr>
          <w:rFonts w:hint="eastAsia"/>
        </w:rPr>
        <w:t>工程师</w:t>
      </w:r>
      <w:r>
        <w:rPr>
          <w:rFonts w:hint="eastAsia"/>
          <w:lang w:val="en-US" w:eastAsia="zh-CN"/>
        </w:rPr>
        <w:t>2</w:t>
      </w:r>
      <w:r>
        <w:rPr>
          <w:rFonts w:hint="eastAsia"/>
        </w:rPr>
        <w:t>人</w:t>
      </w:r>
      <w:r>
        <w:rPr>
          <w:rFonts w:hint="eastAsia"/>
          <w:lang w:eastAsia="zh-CN"/>
        </w:rPr>
        <w:t>，</w:t>
      </w:r>
      <w:r>
        <w:rPr>
          <w:rFonts w:hint="eastAsia"/>
          <w:lang w:val="en-US" w:eastAsia="zh-CN"/>
        </w:rPr>
        <w:t>具备</w:t>
      </w:r>
      <w:r>
        <w:rPr>
          <w:rFonts w:hint="eastAsia"/>
        </w:rPr>
        <w:t>网络/安全</w:t>
      </w:r>
      <w:r>
        <w:rPr>
          <w:rFonts w:hint="eastAsia"/>
          <w:lang w:val="en-US" w:eastAsia="zh-CN"/>
        </w:rPr>
        <w:t>等</w:t>
      </w:r>
      <w:r>
        <w:rPr>
          <w:rFonts w:hint="eastAsia"/>
        </w:rPr>
        <w:t>认证（</w:t>
      </w:r>
      <w:r>
        <w:rPr>
          <w:rFonts w:hint="eastAsia"/>
          <w:lang w:val="en-US" w:eastAsia="zh-CN"/>
        </w:rPr>
        <w:t>如</w:t>
      </w:r>
      <w:r>
        <w:rPr>
          <w:rFonts w:hint="eastAsia"/>
        </w:rPr>
        <w:t>CCNP/CISSP）</w:t>
      </w:r>
      <w:r>
        <w:rPr>
          <w:rFonts w:hint="eastAsia"/>
          <w:lang w:val="en-US" w:eastAsia="zh-CN"/>
        </w:rPr>
        <w:t>或者能具备相关工作经验2年以上</w:t>
      </w:r>
      <w:r>
        <w:rPr>
          <w:rFonts w:hint="eastAsia"/>
          <w:lang w:eastAsia="zh-CN"/>
        </w:rPr>
        <w:t>，</w:t>
      </w:r>
      <w:r>
        <w:rPr>
          <w:rFonts w:hint="eastAsia"/>
          <w:lang w:val="en-US" w:eastAsia="zh-CN"/>
        </w:rPr>
        <w:t>负责</w:t>
      </w:r>
      <w:r>
        <w:rPr>
          <w:rFonts w:hint="eastAsia"/>
        </w:rPr>
        <w:t>日常监控、故障处理、巡检</w:t>
      </w:r>
      <w:r>
        <w:rPr>
          <w:rFonts w:hint="eastAsia"/>
          <w:lang w:val="en-US" w:eastAsia="zh-CN"/>
        </w:rPr>
        <w:t>等工作</w:t>
      </w:r>
      <w:r>
        <w:rPr>
          <w:rFonts w:hint="eastAsia"/>
          <w:lang w:eastAsia="zh-CN"/>
        </w:rPr>
        <w:t>，</w:t>
      </w:r>
      <w:r>
        <w:rPr>
          <w:rFonts w:hint="eastAsia"/>
          <w:lang w:val="en-US" w:eastAsia="zh-CN"/>
        </w:rPr>
        <w:t>或采购方交办的工作。</w:t>
      </w:r>
    </w:p>
    <w:p w14:paraId="215D08D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3.</w:t>
      </w:r>
      <w:r>
        <w:rPr>
          <w:rFonts w:hint="eastAsia"/>
        </w:rPr>
        <w:t>安全专家1人</w:t>
      </w:r>
      <w:r>
        <w:rPr>
          <w:rFonts w:hint="eastAsia"/>
          <w:lang w:eastAsia="zh-CN"/>
        </w:rPr>
        <w:t>，</w:t>
      </w:r>
      <w:r>
        <w:rPr>
          <w:rFonts w:hint="eastAsia"/>
          <w:lang w:val="en-US" w:eastAsia="zh-CN"/>
        </w:rPr>
        <w:t>具有</w:t>
      </w:r>
      <w:r>
        <w:rPr>
          <w:rFonts w:hint="eastAsia"/>
        </w:rPr>
        <w:t>CISP/CISA</w:t>
      </w:r>
      <w:r>
        <w:rPr>
          <w:rFonts w:hint="eastAsia"/>
          <w:lang w:val="en-US" w:eastAsia="zh-CN"/>
        </w:rPr>
        <w:t>等</w:t>
      </w:r>
      <w:r>
        <w:rPr>
          <w:rFonts w:hint="eastAsia"/>
        </w:rPr>
        <w:t>证书</w:t>
      </w:r>
      <w:r>
        <w:rPr>
          <w:rFonts w:hint="eastAsia"/>
          <w:lang w:val="en-US" w:eastAsia="zh-CN"/>
        </w:rPr>
        <w:t>或者能具备相关工作经验2年以上</w:t>
      </w:r>
      <w:r>
        <w:rPr>
          <w:rFonts w:hint="eastAsia"/>
          <w:lang w:eastAsia="zh-CN"/>
        </w:rPr>
        <w:t>，</w:t>
      </w:r>
      <w:r>
        <w:rPr>
          <w:rFonts w:hint="eastAsia"/>
          <w:lang w:val="en-US" w:eastAsia="zh-CN"/>
        </w:rPr>
        <w:t>负责</w:t>
      </w:r>
      <w:r>
        <w:rPr>
          <w:rFonts w:hint="eastAsia"/>
        </w:rPr>
        <w:t>渗透测试、应急响应</w:t>
      </w:r>
      <w:r>
        <w:rPr>
          <w:rFonts w:hint="eastAsia"/>
          <w:lang w:val="en-US" w:eastAsia="zh-CN"/>
        </w:rPr>
        <w:t>等工作</w:t>
      </w:r>
      <w:r>
        <w:rPr>
          <w:rFonts w:hint="eastAsia"/>
          <w:lang w:eastAsia="zh-CN"/>
        </w:rPr>
        <w:t>，</w:t>
      </w:r>
      <w:r>
        <w:rPr>
          <w:rFonts w:hint="eastAsia"/>
          <w:lang w:val="en-US" w:eastAsia="zh-CN"/>
        </w:rPr>
        <w:t>或采购方交办的工作。</w:t>
      </w:r>
    </w:p>
    <w:p w14:paraId="6939F038">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eastAsia="zh-CN"/>
        </w:rPr>
      </w:pPr>
      <w:r>
        <w:rPr>
          <w:rFonts w:hint="eastAsia"/>
          <w:lang w:val="en-US" w:eastAsia="zh-CN"/>
        </w:rPr>
        <w:t>4.</w:t>
      </w:r>
      <w:r>
        <w:rPr>
          <w:rFonts w:hint="eastAsia"/>
        </w:rPr>
        <w:t>数据库管理员1人</w:t>
      </w:r>
      <w:r>
        <w:rPr>
          <w:rFonts w:hint="eastAsia"/>
          <w:lang w:eastAsia="zh-CN"/>
        </w:rPr>
        <w:t>，</w:t>
      </w:r>
      <w:r>
        <w:rPr>
          <w:rFonts w:hint="eastAsia"/>
          <w:lang w:val="en-US" w:eastAsia="zh-CN"/>
        </w:rPr>
        <w:t>具备</w:t>
      </w:r>
      <w:r>
        <w:rPr>
          <w:rFonts w:hint="eastAsia"/>
        </w:rPr>
        <w:t>Oracle/MySQL</w:t>
      </w:r>
      <w:r>
        <w:rPr>
          <w:rFonts w:hint="eastAsia"/>
          <w:lang w:val="en-US" w:eastAsia="zh-CN"/>
        </w:rPr>
        <w:t>等主流数据库</w:t>
      </w:r>
      <w:r>
        <w:rPr>
          <w:rFonts w:hint="eastAsia"/>
        </w:rPr>
        <w:t>认证</w:t>
      </w:r>
      <w:r>
        <w:rPr>
          <w:rFonts w:hint="eastAsia"/>
          <w:lang w:val="en-US" w:eastAsia="zh-CN"/>
        </w:rPr>
        <w:t>或者能具备相关工作经验2年以上</w:t>
      </w:r>
      <w:r>
        <w:rPr>
          <w:rFonts w:hint="eastAsia"/>
          <w:lang w:eastAsia="zh-CN"/>
        </w:rPr>
        <w:t>，</w:t>
      </w:r>
      <w:r>
        <w:rPr>
          <w:rFonts w:hint="eastAsia"/>
          <w:lang w:val="en-US" w:eastAsia="zh-CN"/>
        </w:rPr>
        <w:t>负责</w:t>
      </w:r>
      <w:r>
        <w:rPr>
          <w:rFonts w:hint="eastAsia"/>
        </w:rPr>
        <w:t>备份验证、性能调优</w:t>
      </w:r>
      <w:r>
        <w:rPr>
          <w:rFonts w:hint="eastAsia"/>
          <w:lang w:eastAsia="zh-CN"/>
        </w:rPr>
        <w:t>，</w:t>
      </w:r>
      <w:r>
        <w:rPr>
          <w:rFonts w:hint="eastAsia"/>
          <w:lang w:val="en-US" w:eastAsia="zh-CN"/>
        </w:rPr>
        <w:t>或采购方交办的工作</w:t>
      </w:r>
      <w:r>
        <w:rPr>
          <w:rFonts w:hint="eastAsia"/>
          <w:lang w:eastAsia="zh-CN"/>
        </w:rPr>
        <w:t>。</w:t>
      </w:r>
    </w:p>
    <w:p w14:paraId="47792FFD">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lang w:val="en-US" w:eastAsia="zh-CN"/>
        </w:rPr>
        <w:t>5.以上人员均应为投标方的在职工作人员，需与采购方</w:t>
      </w:r>
      <w:r>
        <w:rPr>
          <w:rFonts w:hint="eastAsia"/>
        </w:rPr>
        <w:t>签订</w:t>
      </w:r>
      <w:r>
        <w:rPr>
          <w:rFonts w:hint="eastAsia"/>
          <w:lang w:val="en-US" w:eastAsia="zh-CN"/>
        </w:rPr>
        <w:t>网络安全、数据安全和个人信息保护等</w:t>
      </w:r>
      <w:r>
        <w:rPr>
          <w:rFonts w:hint="eastAsia"/>
        </w:rPr>
        <w:t>保密协议，禁止私自导出业务数据。</w:t>
      </w:r>
    </w:p>
    <w:p w14:paraId="4C616211">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lang w:val="en-US" w:eastAsia="zh-CN"/>
        </w:rPr>
        <w:t>四、履约管理</w:t>
      </w:r>
      <w:r>
        <w:rPr>
          <w:rFonts w:hint="eastAsia"/>
        </w:rPr>
        <w:t xml:space="preserve">  </w:t>
      </w:r>
    </w:p>
    <w:p w14:paraId="4E718088">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1. 服务流程：</w:t>
      </w:r>
      <w:r>
        <w:rPr>
          <w:rFonts w:hint="eastAsia"/>
          <w:lang w:val="en-US" w:eastAsia="zh-CN"/>
        </w:rPr>
        <w:t>投标方应根据</w:t>
      </w:r>
      <w:r>
        <w:rPr>
          <w:rFonts w:hint="eastAsia"/>
        </w:rPr>
        <w:t>ITSS标准流程（事件管理→问题管理→变更管理）</w:t>
      </w:r>
      <w:r>
        <w:rPr>
          <w:rFonts w:hint="eastAsia"/>
          <w:lang w:val="en-US" w:eastAsia="zh-CN"/>
        </w:rPr>
        <w:t>开展服务并及时反馈，</w:t>
      </w:r>
      <w:r>
        <w:rPr>
          <w:rFonts w:hint="eastAsia"/>
        </w:rPr>
        <w:t xml:space="preserve">工单系统跟踪（故障解决率≥95%）  </w:t>
      </w:r>
    </w:p>
    <w:p w14:paraId="6E98B95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2.文档交付</w:t>
      </w:r>
      <w:r>
        <w:rPr>
          <w:rFonts w:hint="eastAsia"/>
          <w:lang w:eastAsia="zh-CN"/>
        </w:rPr>
        <w:t>：</w:t>
      </w:r>
      <w:r>
        <w:rPr>
          <w:rFonts w:hint="eastAsia"/>
        </w:rPr>
        <w:t xml:space="preserve">季度运维报告 + 年度总结（含漏洞修复率、备份成功率）  </w:t>
      </w:r>
    </w:p>
    <w:p w14:paraId="6EE6D77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eastAsia="zh-CN"/>
        </w:rPr>
      </w:pPr>
      <w:r>
        <w:rPr>
          <w:rFonts w:hint="eastAsia"/>
        </w:rPr>
        <w:t>3.验收标准：中期验收</w:t>
      </w:r>
      <w:r>
        <w:rPr>
          <w:rFonts w:hint="eastAsia"/>
          <w:lang w:eastAsia="zh-CN"/>
        </w:rPr>
        <w:t>，</w:t>
      </w:r>
      <w:r>
        <w:rPr>
          <w:rFonts w:hint="eastAsia"/>
          <w:lang w:val="en-US" w:eastAsia="zh-CN"/>
        </w:rPr>
        <w:t>即</w:t>
      </w:r>
      <w:r>
        <w:rPr>
          <w:rFonts w:hint="eastAsia"/>
        </w:rPr>
        <w:t>服务6个月后</w:t>
      </w:r>
      <w:r>
        <w:rPr>
          <w:rFonts w:hint="eastAsia"/>
          <w:lang w:eastAsia="zh-CN"/>
        </w:rPr>
        <w:t>，</w:t>
      </w:r>
      <w:r>
        <w:rPr>
          <w:rFonts w:hint="eastAsia"/>
          <w:lang w:val="en-US" w:eastAsia="zh-CN"/>
        </w:rPr>
        <w:t>运维指标达标及</w:t>
      </w:r>
      <w:r>
        <w:rPr>
          <w:rFonts w:hint="eastAsia"/>
        </w:rPr>
        <w:t>人员考核</w:t>
      </w:r>
      <w:r>
        <w:rPr>
          <w:rFonts w:hint="eastAsia"/>
          <w:lang w:val="en-US" w:eastAsia="zh-CN"/>
        </w:rPr>
        <w:t>均应</w:t>
      </w:r>
      <w:r>
        <w:rPr>
          <w:rFonts w:hint="eastAsia"/>
        </w:rPr>
        <w:t>合格</w:t>
      </w:r>
      <w:r>
        <w:rPr>
          <w:rFonts w:hint="eastAsia"/>
          <w:lang w:eastAsia="zh-CN"/>
        </w:rPr>
        <w:t>，</w:t>
      </w:r>
      <w:r>
        <w:rPr>
          <w:rFonts w:hint="eastAsia"/>
          <w:lang w:val="en-US" w:eastAsia="zh-CN"/>
        </w:rPr>
        <w:t>否则采购方有权延付预定款项</w:t>
      </w:r>
      <w:r>
        <w:rPr>
          <w:rFonts w:hint="eastAsia"/>
          <w:lang w:eastAsia="zh-CN"/>
        </w:rPr>
        <w:t>。</w:t>
      </w:r>
    </w:p>
    <w:p w14:paraId="4845BD9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4.投标方基于本项目运维服务采购需求形成的工作内容或成果应当体现于报告、优化建议等交付成果中，并应于每月5日（逢节假日顺延至节假日后工作日）前经运维人员签字、公司盖章交付。</w:t>
      </w:r>
    </w:p>
    <w:p w14:paraId="1634385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lang w:val="en-US" w:eastAsia="zh-CN"/>
        </w:rPr>
      </w:pPr>
      <w:r>
        <w:rPr>
          <w:rFonts w:hint="eastAsia"/>
          <w:lang w:val="en-US" w:eastAsia="zh-CN"/>
        </w:rPr>
        <w:t>5.基于本项目运维服务形成的工作内容或成果的知识产权归采购方所有。</w:t>
      </w:r>
    </w:p>
    <w:p w14:paraId="3FD838C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lang w:val="en-US" w:eastAsia="zh-CN"/>
        </w:rPr>
        <w:t xml:space="preserve">五、采购条款 </w:t>
      </w:r>
      <w:r>
        <w:rPr>
          <w:rFonts w:hint="eastAsia"/>
        </w:rPr>
        <w:t xml:space="preserve"> </w:t>
      </w:r>
    </w:p>
    <w:p w14:paraId="44AF1685">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eastAsia="zh-CN"/>
        </w:rPr>
      </w:pPr>
      <w:r>
        <w:rPr>
          <w:rFonts w:hint="eastAsia"/>
          <w:lang w:val="en-US" w:eastAsia="zh-CN"/>
        </w:rPr>
        <w:t>1.</w:t>
      </w:r>
      <w:r>
        <w:rPr>
          <w:rFonts w:hint="eastAsia"/>
        </w:rPr>
        <w:t>合同周期：1年（</w:t>
      </w:r>
      <w:r>
        <w:rPr>
          <w:rFonts w:hint="eastAsia"/>
          <w:lang w:val="en-US" w:eastAsia="zh-CN"/>
        </w:rPr>
        <w:t>同等条件下</w:t>
      </w:r>
      <w:r>
        <w:rPr>
          <w:rFonts w:hint="eastAsia"/>
        </w:rPr>
        <w:t>可续签）</w:t>
      </w:r>
      <w:r>
        <w:rPr>
          <w:rFonts w:hint="eastAsia"/>
          <w:lang w:eastAsia="zh-CN"/>
        </w:rPr>
        <w:t>。</w:t>
      </w:r>
    </w:p>
    <w:p w14:paraId="39A00465">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eastAsia="zh-CN"/>
        </w:rPr>
      </w:pPr>
      <w:r>
        <w:rPr>
          <w:rFonts w:hint="eastAsia"/>
          <w:lang w:val="en-US" w:eastAsia="zh-CN"/>
        </w:rPr>
        <w:t>2.采购预算</w:t>
      </w:r>
      <w:r>
        <w:rPr>
          <w:rFonts w:hint="eastAsia"/>
        </w:rPr>
        <w:t>：</w:t>
      </w:r>
      <w:r>
        <w:rPr>
          <w:rFonts w:hint="eastAsia"/>
          <w:lang w:val="en-US" w:eastAsia="zh-CN"/>
        </w:rPr>
        <w:t>48000</w:t>
      </w:r>
      <w:bookmarkStart w:id="0" w:name="_GoBack"/>
      <w:bookmarkEnd w:id="0"/>
      <w:r>
        <w:rPr>
          <w:rFonts w:hint="eastAsia"/>
          <w:lang w:val="en-US" w:eastAsia="zh-CN"/>
        </w:rPr>
        <w:t>元</w:t>
      </w:r>
      <w:r>
        <w:rPr>
          <w:rFonts w:hint="eastAsia"/>
          <w:lang w:eastAsia="zh-CN"/>
        </w:rPr>
        <w:t>。</w:t>
      </w:r>
    </w:p>
    <w:p w14:paraId="61B3003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3.</w:t>
      </w:r>
      <w:r>
        <w:rPr>
          <w:rFonts w:hint="eastAsia"/>
        </w:rPr>
        <w:t>付款方式：签订合同</w:t>
      </w:r>
      <w:r>
        <w:rPr>
          <w:rFonts w:hint="eastAsia"/>
          <w:lang w:val="en-US" w:eastAsia="zh-CN"/>
        </w:rPr>
        <w:t>后</w:t>
      </w:r>
      <w:r>
        <w:rPr>
          <w:rFonts w:hint="eastAsia"/>
        </w:rPr>
        <w:t>支付</w:t>
      </w:r>
      <w:r>
        <w:rPr>
          <w:rFonts w:hint="eastAsia"/>
          <w:lang w:val="en-US" w:eastAsia="zh-CN"/>
        </w:rPr>
        <w:t>成交总价款的</w:t>
      </w:r>
      <w:r>
        <w:rPr>
          <w:rFonts w:hint="eastAsia"/>
        </w:rPr>
        <w:t xml:space="preserve">30% </w:t>
      </w:r>
      <w:r>
        <w:rPr>
          <w:rFonts w:hint="eastAsia"/>
          <w:lang w:eastAsia="zh-CN"/>
        </w:rPr>
        <w:t>，</w:t>
      </w:r>
      <w:r>
        <w:rPr>
          <w:rFonts w:hint="eastAsia"/>
          <w:lang w:val="en-US" w:eastAsia="zh-CN"/>
        </w:rPr>
        <w:t>满足</w:t>
      </w:r>
      <w:r>
        <w:rPr>
          <w:rFonts w:hint="eastAsia"/>
        </w:rPr>
        <w:t>中期验</w:t>
      </w:r>
      <w:r>
        <w:rPr>
          <w:rFonts w:hint="eastAsia"/>
          <w:lang w:val="en-US" w:eastAsia="zh-CN"/>
        </w:rPr>
        <w:t>标准的</w:t>
      </w:r>
      <w:r>
        <w:rPr>
          <w:rFonts w:hint="eastAsia"/>
        </w:rPr>
        <w:t>付</w:t>
      </w:r>
      <w:r>
        <w:rPr>
          <w:rFonts w:hint="eastAsia"/>
          <w:lang w:val="en-US" w:eastAsia="zh-CN"/>
        </w:rPr>
        <w:t>65</w:t>
      </w:r>
      <w:r>
        <w:rPr>
          <w:rFonts w:hint="eastAsia"/>
        </w:rPr>
        <w:t xml:space="preserve">% </w:t>
      </w:r>
      <w:r>
        <w:rPr>
          <w:rFonts w:hint="eastAsia"/>
          <w:lang w:eastAsia="zh-CN"/>
        </w:rPr>
        <w:t>，</w:t>
      </w:r>
      <w:r>
        <w:rPr>
          <w:rFonts w:hint="eastAsia"/>
          <w:lang w:val="en-US" w:eastAsia="zh-CN"/>
        </w:rPr>
        <w:t>运维期满6个月后付余款。</w:t>
      </w:r>
    </w:p>
    <w:p w14:paraId="0A79D0CD">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4.投标方在投标文件中应当全部响应上述采购需求，包括但不限于针对性制定运维服务计划、提供与智慧监管平台类似运维案例、提供相关证件证明等。</w:t>
      </w:r>
    </w:p>
    <w:p w14:paraId="5E10FE3F">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lang w:val="en-US" w:eastAsia="zh-CN"/>
        </w:rPr>
      </w:pPr>
      <w:r>
        <w:rPr>
          <w:rFonts w:hint="eastAsia"/>
          <w:lang w:val="en-US" w:eastAsia="zh-CN"/>
        </w:rPr>
        <w:t>5.本项目运维服务采购需求文本是正式运维合同文本的组成部分，正式合同未包含的运维服务事项，以本需求文本为准。</w:t>
      </w:r>
    </w:p>
    <w:sectPr>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0" w:usb1="00000000" w:usb2="00000000" w:usb3="00000000" w:csb0="00040000" w:csb1="00000000"/>
  </w:font>
  <w:font w:name="pingfang sc">
    <w:altName w:val="Noto Sans Mono CJK HK"/>
    <w:panose1 w:val="020B0400000000000000"/>
    <w:charset w:val="86"/>
    <w:family w:val="auto"/>
    <w:pitch w:val="default"/>
    <w:sig w:usb0="00000000" w:usb1="00000000" w:usb2="00000000" w:usb3="00000000" w:csb0="00160000" w:csb1="00000000"/>
  </w:font>
  <w:font w:name="方正小标宋简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0" w:usb1="00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pingfang sc"/>
      <w:kern w:val="0"/>
      <w:sz w:val="32"/>
      <w:szCs w:val="26"/>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 w:type="character" w:styleId="10">
    <w:name w:val="HTML Code"/>
    <w:basedOn w:val="6"/>
    <w:qFormat/>
    <w:uiPriority w:val="0"/>
    <w:rPr>
      <w:rFonts w:ascii="Courier New" w:hAnsi="Courier New"/>
      <w:sz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2025-06-28T00:55:00Z</dcterms:created>
  <dc:creator>柳青</dc:creator>
  <cp:lastModifiedBy>iPhone</cp:lastModifiedBy>
  <dcterms:modified xsi:type="dcterms:W3CDTF">2025-09-18T16:27:34Z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2052-12.32.1</vt:lpwstr>
  </property>
  <property fmtid="{D5CDD505-2E9C-101B-9397-08002B2CF9AE}" pid="3" name="ICV">
    <vt:lpwstr>EDA801AEE50FFD471A0B5D68B6D2EBCB_41</vt:lpwstr>
  </property>
</Properties>
</file>